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75" w:rsidRDefault="00706B75" w:rsidP="00706B75">
      <w:pPr>
        <w:shd w:val="clear" w:color="auto" w:fill="F9F9F9"/>
        <w:spacing w:before="161" w:after="450" w:line="630" w:lineRule="atLeast"/>
        <w:outlineLvl w:val="0"/>
        <w:rPr>
          <w:rFonts w:ascii="Arial" w:eastAsia="Times New Roman" w:hAnsi="Arial" w:cs="Arial"/>
          <w:color w:val="000000"/>
          <w:spacing w:val="2"/>
          <w:kern w:val="36"/>
          <w:sz w:val="51"/>
          <w:szCs w:val="51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kern w:val="36"/>
          <w:sz w:val="51"/>
          <w:szCs w:val="51"/>
          <w:lang w:eastAsia="ru-RU"/>
        </w:rPr>
        <w:t>Вниманию граждан, выезжающих в Литву через пункт пропуска «Бенякони»!</w:t>
      </w:r>
    </w:p>
    <w:p w:rsidR="00706B75" w:rsidRDefault="00706B75" w:rsidP="00706B75">
      <w:pPr>
        <w:pStyle w:val="a4"/>
        <w:shd w:val="clear" w:color="auto" w:fill="F9F9F9"/>
        <w:spacing w:line="480" w:lineRule="atLeast"/>
        <w:rPr>
          <w:rFonts w:ascii="Arial" w:hAnsi="Arial" w:cs="Arial"/>
          <w:color w:val="000000"/>
          <w:spacing w:val="1"/>
          <w:sz w:val="26"/>
          <w:szCs w:val="26"/>
        </w:rPr>
      </w:pPr>
      <w:r>
        <w:rPr>
          <w:rFonts w:ascii="Arial" w:hAnsi="Arial" w:cs="Arial"/>
          <w:color w:val="000000"/>
          <w:spacing w:val="1"/>
          <w:sz w:val="26"/>
          <w:szCs w:val="26"/>
        </w:rPr>
        <w:t>В период с 20 по 24 мая в связи с проведением дорожных работ на участке автодороги М11/Е85 между белорусским пунктом пропуска «Бенякони» и литовским – «Шальчининкай» будет изменена схема организации дорожного движения. В связи с этим возможны затруднения при пересечении границы.</w:t>
      </w:r>
    </w:p>
    <w:p w:rsidR="00706B75" w:rsidRDefault="00706B75" w:rsidP="00706B75">
      <w:pPr>
        <w:pStyle w:val="a4"/>
        <w:shd w:val="clear" w:color="auto" w:fill="F9F9F9"/>
        <w:spacing w:line="480" w:lineRule="atLeast"/>
        <w:rPr>
          <w:rFonts w:ascii="Arial" w:hAnsi="Arial" w:cs="Arial"/>
          <w:color w:val="000000"/>
          <w:spacing w:val="1"/>
          <w:sz w:val="26"/>
          <w:szCs w:val="26"/>
        </w:rPr>
      </w:pPr>
      <w:r>
        <w:rPr>
          <w:rFonts w:ascii="Arial" w:hAnsi="Arial" w:cs="Arial"/>
          <w:color w:val="000000"/>
          <w:spacing w:val="1"/>
          <w:sz w:val="26"/>
          <w:szCs w:val="26"/>
        </w:rPr>
        <w:t>Дорожные работы направлены на повышение эффективности функционирования пункта пропуска, создание условий для более комфортного и безопасного пересечения границы.</w:t>
      </w:r>
    </w:p>
    <w:p w:rsidR="003F0091" w:rsidRDefault="00706B75" w:rsidP="00706B75">
      <w:r>
        <w:rPr>
          <w:rFonts w:ascii="Arial" w:hAnsi="Arial" w:cs="Arial"/>
          <w:color w:val="000000"/>
          <w:spacing w:val="1"/>
          <w:sz w:val="26"/>
          <w:szCs w:val="26"/>
        </w:rPr>
        <w:t>Рекомендуем учитывать данную информацию и, при необходимости, выбирать альтернативные маршруты выезда в Литву. За обстановкой перед пунктами пропуска можно следить на</w:t>
      </w:r>
      <w:hyperlink r:id="rId5" w:history="1">
        <w:r>
          <w:rPr>
            <w:rStyle w:val="a3"/>
            <w:rFonts w:ascii="Arial" w:hAnsi="Arial" w:cs="Arial"/>
            <w:color w:val="00AF80"/>
            <w:spacing w:val="1"/>
            <w:sz w:val="26"/>
            <w:szCs w:val="26"/>
            <w:u w:val="none"/>
          </w:rPr>
          <w:t>информационном портале Госпогранкомитета</w:t>
        </w:r>
      </w:hyperlink>
      <w:bookmarkStart w:id="0" w:name="_GoBack"/>
      <w:bookmarkEnd w:id="0"/>
    </w:p>
    <w:sectPr w:rsidR="003F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4B"/>
    <w:rsid w:val="003B684B"/>
    <w:rsid w:val="003F0091"/>
    <w:rsid w:val="0070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B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B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pk.gov.by/situation-at-the-bor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Home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2019-05-17T12:41:00Z</dcterms:created>
  <dcterms:modified xsi:type="dcterms:W3CDTF">2019-05-17T12:41:00Z</dcterms:modified>
</cp:coreProperties>
</file>