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4AD" w:rsidRDefault="00E544AD">
      <w:pPr>
        <w:pStyle w:val="newncpi"/>
        <w:ind w:firstLine="0"/>
        <w:jc w:val="center"/>
      </w:pPr>
      <w:bookmarkStart w:id="0" w:name="_GoBack"/>
      <w:bookmarkEnd w:id="0"/>
      <w:r>
        <w:rPr>
          <w:rStyle w:val="name"/>
        </w:rPr>
        <w:t>ЗАКОН РЕСПУБЛИКИ БЕЛАРУСЬ</w:t>
      </w:r>
    </w:p>
    <w:p w:rsidR="00E544AD" w:rsidRDefault="00E544AD">
      <w:pPr>
        <w:pStyle w:val="newncpi"/>
        <w:ind w:firstLine="0"/>
        <w:jc w:val="center"/>
      </w:pPr>
      <w:r>
        <w:rPr>
          <w:rStyle w:val="datepr"/>
        </w:rPr>
        <w:t>5 ноября 1992 г.</w:t>
      </w:r>
      <w:r>
        <w:rPr>
          <w:rStyle w:val="number"/>
        </w:rPr>
        <w:t xml:space="preserve"> № 1914-XІІ</w:t>
      </w:r>
    </w:p>
    <w:p w:rsidR="00E544AD" w:rsidRDefault="00E544AD">
      <w:pPr>
        <w:pStyle w:val="1"/>
      </w:pPr>
      <w:r>
        <w:t>О воинской обязанности и воинской службе</w:t>
      </w:r>
    </w:p>
    <w:p w:rsidR="00E544AD" w:rsidRDefault="00E544AD">
      <w:pPr>
        <w:pStyle w:val="changei"/>
      </w:pPr>
      <w:r>
        <w:t>Изменения и дополнения:</w:t>
      </w:r>
    </w:p>
    <w:p w:rsidR="00E544AD" w:rsidRDefault="00E544AD" w:rsidP="00E5391D">
      <w:pPr>
        <w:pStyle w:val="changeadd"/>
        <w:spacing w:after="120"/>
      </w:pPr>
      <w:r w:rsidRPr="00E5391D">
        <w:t>Закон Республики Беларусь от 3 апреля 2024 г. № 363-З (Национальный правовой Интернет-портал Республики Беларусь, 06.04.2024</w:t>
      </w:r>
      <w:r w:rsidR="00E5391D">
        <w:t>.</w:t>
      </w:r>
    </w:p>
    <w:p w:rsidR="00E544AD" w:rsidRDefault="00E544AD">
      <w:pPr>
        <w:pStyle w:val="preamble"/>
      </w:pPr>
      <w:r>
        <w:t>Настоящий Закон устанавливает правовые и организационные основы исполнения гражданами Республики Беларусь воинской обязанности (конституционного долга по защите Республики Беларусь) путем прохождения воинской службы, а также основания и условия освобождения от воинской службы.</w:t>
      </w:r>
    </w:p>
    <w:p w:rsidR="00E544AD" w:rsidRDefault="00E544AD">
      <w:pPr>
        <w:pStyle w:val="article"/>
      </w:pPr>
      <w:r>
        <w:t>Статья 70. Военные и специальные сборы</w:t>
      </w:r>
    </w:p>
    <w:p w:rsidR="00E544AD" w:rsidRDefault="00E544AD">
      <w:pPr>
        <w:pStyle w:val="newncpi"/>
      </w:pPr>
      <w:r>
        <w:t>Военнообязанные могут быть призваны на военные сборы. Военнообязанные, прошедшие альтернативную службу, на военные сборы не призываются.</w:t>
      </w:r>
    </w:p>
    <w:p w:rsidR="00E544AD" w:rsidRDefault="00E544AD">
      <w:pPr>
        <w:pStyle w:val="newncpi"/>
      </w:pPr>
      <w:r>
        <w:t>Военные сборы проводятся под руководством должностных лиц Вооруженных Сил, других воинских формирований, а в отношении территориальных войск – руководителей местных исполнительных и распорядительных органов в порядке, установленном Правительством Республики Беларусь.</w:t>
      </w:r>
    </w:p>
    <w:p w:rsidR="00E544AD" w:rsidRDefault="00E544AD">
      <w:pPr>
        <w:pStyle w:val="newncpi"/>
      </w:pPr>
      <w:r>
        <w:t>Сроки проведения военных сборов, а также лимиты призыва военнообязанных и поставки техники устанавливаются Правительством Республики Беларусь.</w:t>
      </w:r>
    </w:p>
    <w:p w:rsidR="00E544AD" w:rsidRDefault="00E544AD">
      <w:pPr>
        <w:pStyle w:val="newncpi"/>
      </w:pPr>
      <w:r>
        <w:t>Призыв на военные сборы или специальные сборы военнообязанных, состоящих в запасе Вооруженных Сил, организует и проводит военный комиссар. Призыв на военные сборы военнообязанных, состоящих в запасе органов государственной безопасности, организует и проводит начальник управления Комитета государственной безопасности по области. Военнообязанные во время прохождения военных сборов или специальных сборов имеют статус военнослужащих, проходящих военную службу по призыву.</w:t>
      </w:r>
    </w:p>
    <w:p w:rsidR="00E544AD" w:rsidRDefault="00E544AD">
      <w:pPr>
        <w:pStyle w:val="newncpi"/>
      </w:pPr>
      <w:r>
        <w:t>Военнообязанные могут призываться на специальные сборы на срок до двух месяцев по решению Президента Республики Беларусь.</w:t>
      </w:r>
    </w:p>
    <w:p w:rsidR="00E544AD" w:rsidRDefault="00E544AD">
      <w:pPr>
        <w:pStyle w:val="newncpi"/>
      </w:pPr>
      <w:r>
        <w:t>Началом прохождения военных сборов или специальных сборов военнообязанными считается день явки их в военный комиссариат (обособленное подразделение) или управление Комитета государственной безопасности по области для отправки к месту проведения сборов. Окончанием прохождения военных сборов или специальных сборов военнообязанными считается день исключения их из списков личного состава соответствующих организаций.</w:t>
      </w:r>
    </w:p>
    <w:p w:rsidR="00E544AD" w:rsidRDefault="00E544AD">
      <w:pPr>
        <w:pStyle w:val="newncpi"/>
      </w:pPr>
      <w:r>
        <w:t>Общий срок военных или специальных сборов за время состояния военнообязанного в запасе не может превышать 12 месяцев. Периодичность призыва военнообязанных на военные сборы устанавливается Правительством Республики Беларусь. При этом в общий срок военных или специальных сборов офицеров запаса засчитывается время прохождения ими военных или специальных сборов до присвоения офицерского воинского звания.</w:t>
      </w:r>
    </w:p>
    <w:p w:rsidR="00E544AD" w:rsidRDefault="00E544AD">
      <w:pPr>
        <w:pStyle w:val="newncpi"/>
      </w:pPr>
      <w:r>
        <w:t>Военнообязанные в период нахождения на военных сборах или специальных сборах исполняют обязанности военной службы. Права и обязанности военнообязанных, призванных на военные сборы или специальные сборы, устанавливаются Положением о порядке прохождения военных и специальных сборов, утверждаемым Правительством Республики Беларусь, и уставами Вооруженных Сил.</w:t>
      </w:r>
    </w:p>
    <w:p w:rsidR="00E544AD" w:rsidRDefault="00E544AD">
      <w:pPr>
        <w:pStyle w:val="newncpi"/>
      </w:pPr>
      <w:r>
        <w:t>Военнообязанные, призванные на военные или специальные сборы, во время прохождения сборов обеспечиваются материальным и денежным довольствием в порядке и размерах, определяемых Правительством Республики Беларусь.</w:t>
      </w:r>
    </w:p>
    <w:p w:rsidR="00E544AD" w:rsidRDefault="00E544AD">
      <w:pPr>
        <w:pStyle w:val="newncpi"/>
      </w:pPr>
      <w:r>
        <w:t xml:space="preserve">Военнообязанные, призванные на военные или специальные сборы, имеют право на досрочное увольнение с военных или специальных сборов при возникновении у них </w:t>
      </w:r>
      <w:r>
        <w:lastRenderedPageBreak/>
        <w:t>обстоятельств, предусмотренных абзацем девятым части первой статьи 71 настоящего Закона, либо иных уважительных причин при предъявлении соответствующих документов. Увольнение военнообязанных проводится приказом командира воинской части, руководителя иной организации Вооруженных Сил, другого воинского формирования, местного исполнительного и распорядительного органа, в которых они проходят военные или специальные сборы.</w:t>
      </w:r>
    </w:p>
    <w:p w:rsidR="00E544AD" w:rsidRDefault="00E544AD">
      <w:pPr>
        <w:pStyle w:val="newncpi"/>
      </w:pPr>
      <w:r>
        <w:t>При объявлении мобилизации, введении военного положения, с наступлением военного времени военнообязанные, находящиеся на военных или специальных сборах, становятся военнослужащими, проходящими военную службу по мобилизации.</w:t>
      </w:r>
    </w:p>
    <w:p w:rsidR="00E544AD" w:rsidRDefault="00E544AD">
      <w:pPr>
        <w:pStyle w:val="article"/>
      </w:pPr>
      <w:r>
        <w:t>Статья 71. Освобождение от прохождения военных и специальных сборов</w:t>
      </w:r>
    </w:p>
    <w:p w:rsidR="00E544AD" w:rsidRDefault="00E544AD">
      <w:pPr>
        <w:pStyle w:val="newncpi"/>
      </w:pPr>
      <w:r>
        <w:t>От прохождения всех видов военных и специальных сборов освобождаются:</w:t>
      </w:r>
    </w:p>
    <w:p w:rsidR="00E544AD" w:rsidRDefault="00E544AD">
      <w:pPr>
        <w:pStyle w:val="newncpi"/>
      </w:pPr>
      <w:r>
        <w:t>военнообязанные, забронированные за республиканскими органами государственного управления, другими государственными органами и иными организациями;</w:t>
      </w:r>
    </w:p>
    <w:p w:rsidR="00E544AD" w:rsidRDefault="00E544AD">
      <w:pPr>
        <w:pStyle w:val="newncpi"/>
      </w:pPr>
      <w:r>
        <w:t>судьи и прокурорские работники;</w:t>
      </w:r>
    </w:p>
    <w:p w:rsidR="00E544AD" w:rsidRDefault="00E544AD">
      <w:pPr>
        <w:pStyle w:val="newncpi"/>
      </w:pPr>
      <w:r>
        <w:t>делегаты Всебелорусского народного собрания;</w:t>
      </w:r>
    </w:p>
    <w:p w:rsidR="00E544AD" w:rsidRDefault="00E544AD">
      <w:pPr>
        <w:pStyle w:val="newncpi"/>
      </w:pPr>
      <w:r>
        <w:t>депутаты Палаты представителей Национального собрания Республики Беларусь;</w:t>
      </w:r>
    </w:p>
    <w:p w:rsidR="00E544AD" w:rsidRDefault="00E544AD">
      <w:pPr>
        <w:pStyle w:val="newncpi"/>
      </w:pPr>
      <w:r>
        <w:t>члены Совета Республики Национального собрания Республики Беларусь;</w:t>
      </w:r>
    </w:p>
    <w:p w:rsidR="00E544AD" w:rsidRDefault="00E544AD">
      <w:pPr>
        <w:pStyle w:val="newncpi"/>
      </w:pPr>
      <w:r>
        <w:t>руководители, лица из числа летного и технического состава, другие работники авиационного и железнодорожного транспорта, непосредственно обеспечивающие или осуществляющие перевозки, занятые обслуживанием и ремонтом самолетов (вертолетов), аэродромной техники, подвижного состава и устройств железнодорожного транспорта, а также авиационных организаций республиканского государственно-общественного объединения «Добровольное общество содействия армии, авиации и флоту Республики Беларусь»;</w:t>
      </w:r>
    </w:p>
    <w:p w:rsidR="00E544AD" w:rsidRDefault="00E544AD">
      <w:pPr>
        <w:pStyle w:val="newncpi"/>
      </w:pPr>
      <w:r>
        <w:t>члены экипажей судов речного флота – в период навигации;</w:t>
      </w:r>
    </w:p>
    <w:p w:rsidR="00E544AD" w:rsidRDefault="00E544AD">
      <w:pPr>
        <w:pStyle w:val="newncpi"/>
      </w:pPr>
      <w:r>
        <w:t>военнообязанные – при наличии у них оснований для предоставления отсрочки от призыва в период мобилизации по семейному положению, состоянию здоровья, а также имеющие трех и более детей до 18-летнего возраста;</w:t>
      </w:r>
    </w:p>
    <w:p w:rsidR="00E544AD" w:rsidRDefault="00E544AD">
      <w:pPr>
        <w:pStyle w:val="newncpi"/>
      </w:pPr>
      <w:r>
        <w:t>обучающиеся, получающие среднее специальное, высшее образование в очной форме получения образования, – на весь период обучения, а обучающиеся, получающие среднее специальное, высшее образование в заочной, дистанционной формах получения образования, – на период экзаменационных сессий.</w:t>
      </w:r>
    </w:p>
    <w:p w:rsidR="00E544AD" w:rsidRDefault="00E544AD">
      <w:pPr>
        <w:pStyle w:val="newncpi"/>
      </w:pPr>
      <w:r>
        <w:t>От прохождения военных и специальных сборов, за исключением прохождения военных сборов по проверке боевой и мобилизационной готовности воинских частей, военных комиссариатов, иных организаций Вооруженных Сил, а также других воинских формирований, проводимых по распоряжению Президента Республики Беларусь, освобождаются:</w:t>
      </w:r>
    </w:p>
    <w:p w:rsidR="00E544AD" w:rsidRDefault="00E544AD">
      <w:pPr>
        <w:pStyle w:val="newncpi"/>
      </w:pPr>
      <w:r>
        <w:t>граждане, непосредственно занятые на посевных и уборочных работах, – в период проведения этих работ;</w:t>
      </w:r>
    </w:p>
    <w:p w:rsidR="00E544AD" w:rsidRDefault="00E544AD">
      <w:pPr>
        <w:pStyle w:val="newncpi"/>
      </w:pPr>
      <w:r>
        <w:t>педагогические работники учреждений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w:t>
      </w:r>
    </w:p>
    <w:p w:rsidR="00E544AD" w:rsidRDefault="00E544AD">
      <w:pPr>
        <w:pStyle w:val="newncpi"/>
      </w:pPr>
      <w:r>
        <w:t>военнообязанные женского пола.</w:t>
      </w:r>
    </w:p>
    <w:p w:rsidR="00E544AD" w:rsidRDefault="00E544AD">
      <w:pPr>
        <w:pStyle w:val="newncpi"/>
      </w:pPr>
      <w:r>
        <w:t>В отдельных случаях при наличии уважительных причин и предъявлении военнообязанными соответствующих документов решение об освобождении от прохождения военных и специальных сборов может быть принято военным комиссаром района (города) по иным основаниям.</w:t>
      </w:r>
    </w:p>
    <w:p w:rsidR="00E544AD" w:rsidRDefault="00E544AD">
      <w:pPr>
        <w:pStyle w:val="newncpi"/>
      </w:pPr>
      <w:r>
        <w:t>  </w:t>
      </w:r>
    </w:p>
    <w:p w:rsidR="00E544AD" w:rsidRDefault="00E544AD">
      <w:pPr>
        <w:pStyle w:val="newncpi0"/>
      </w:pPr>
      <w:r>
        <w:t> </w:t>
      </w:r>
    </w:p>
    <w:tbl>
      <w:tblPr>
        <w:tblW w:w="5000" w:type="pct"/>
        <w:tblCellMar>
          <w:left w:w="0" w:type="dxa"/>
          <w:right w:w="0" w:type="dxa"/>
        </w:tblCellMar>
        <w:tblLook w:val="04A0" w:firstRow="1" w:lastRow="0" w:firstColumn="1" w:lastColumn="0" w:noHBand="0" w:noVBand="1"/>
      </w:tblPr>
      <w:tblGrid>
        <w:gridCol w:w="6670"/>
        <w:gridCol w:w="2698"/>
      </w:tblGrid>
      <w:tr w:rsidR="00E544AD">
        <w:tc>
          <w:tcPr>
            <w:tcW w:w="3560" w:type="pct"/>
            <w:tcMar>
              <w:top w:w="0" w:type="dxa"/>
              <w:left w:w="6" w:type="dxa"/>
              <w:bottom w:w="0" w:type="dxa"/>
              <w:right w:w="6" w:type="dxa"/>
            </w:tcMar>
            <w:vAlign w:val="bottom"/>
            <w:hideMark/>
          </w:tcPr>
          <w:p w:rsidR="00E544AD" w:rsidRDefault="00E544AD">
            <w:pPr>
              <w:pStyle w:val="newncpi0"/>
              <w:jc w:val="left"/>
            </w:pPr>
            <w:r>
              <w:rPr>
                <w:rStyle w:val="post"/>
              </w:rPr>
              <w:t>Председатель Верховного Совета Республики Беларусь</w:t>
            </w:r>
          </w:p>
        </w:tc>
        <w:tc>
          <w:tcPr>
            <w:tcW w:w="1440" w:type="pct"/>
            <w:tcMar>
              <w:top w:w="0" w:type="dxa"/>
              <w:left w:w="6" w:type="dxa"/>
              <w:bottom w:w="0" w:type="dxa"/>
              <w:right w:w="6" w:type="dxa"/>
            </w:tcMar>
            <w:vAlign w:val="bottom"/>
            <w:hideMark/>
          </w:tcPr>
          <w:p w:rsidR="00E544AD" w:rsidRDefault="00E544AD">
            <w:pPr>
              <w:pStyle w:val="newncpi0"/>
              <w:jc w:val="right"/>
            </w:pPr>
            <w:r>
              <w:rPr>
                <w:rStyle w:val="pers"/>
              </w:rPr>
              <w:t>С.Шушкевич</w:t>
            </w:r>
          </w:p>
        </w:tc>
      </w:tr>
    </w:tbl>
    <w:p w:rsidR="009D4339" w:rsidRDefault="00E544AD" w:rsidP="00E5391D">
      <w:pPr>
        <w:pStyle w:val="newncpi0"/>
      </w:pPr>
      <w:r>
        <w:t> </w:t>
      </w:r>
    </w:p>
    <w:sectPr w:rsidR="009D4339" w:rsidSect="00E5391D">
      <w:headerReference w:type="even" r:id="rId6"/>
      <w:headerReference w:type="default" r:id="rId7"/>
      <w:footerReference w:type="even" r:id="rId8"/>
      <w:footerReference w:type="default" r:id="rId9"/>
      <w:headerReference w:type="first" r:id="rId10"/>
      <w:footerReference w:type="first" r:id="rId11"/>
      <w:pgSz w:w="11906" w:h="16838"/>
      <w:pgMar w:top="851" w:right="850" w:bottom="1134" w:left="17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CC" w:rsidRDefault="00997ECC" w:rsidP="00E544AD">
      <w:pPr>
        <w:spacing w:line="240" w:lineRule="auto"/>
      </w:pPr>
      <w:r>
        <w:separator/>
      </w:r>
    </w:p>
  </w:endnote>
  <w:endnote w:type="continuationSeparator" w:id="0">
    <w:p w:rsidR="00997ECC" w:rsidRDefault="00997ECC" w:rsidP="00E54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Default="00E544A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Default="00E544A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6"/>
    </w:tblGrid>
    <w:tr w:rsidR="00E544AD" w:rsidTr="00E544AD">
      <w:tc>
        <w:tcPr>
          <w:tcW w:w="1800" w:type="dxa"/>
          <w:shd w:val="clear" w:color="auto" w:fill="auto"/>
          <w:vAlign w:val="center"/>
        </w:tcPr>
        <w:p w:rsidR="00E544AD" w:rsidRDefault="00E544AD">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6" w:type="dxa"/>
          <w:shd w:val="clear" w:color="auto" w:fill="auto"/>
          <w:vAlign w:val="center"/>
        </w:tcPr>
        <w:p w:rsidR="00E544AD" w:rsidRDefault="00E544AD">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544AD" w:rsidRDefault="00E544AD">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12.04.2024</w:t>
          </w:r>
        </w:p>
        <w:p w:rsidR="00E544AD" w:rsidRPr="00E544AD" w:rsidRDefault="00E544AD">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544AD" w:rsidRDefault="00E544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CC" w:rsidRDefault="00997ECC" w:rsidP="00E544AD">
      <w:pPr>
        <w:spacing w:line="240" w:lineRule="auto"/>
      </w:pPr>
      <w:r>
        <w:separator/>
      </w:r>
    </w:p>
  </w:footnote>
  <w:footnote w:type="continuationSeparator" w:id="0">
    <w:p w:rsidR="00997ECC" w:rsidRDefault="00997ECC" w:rsidP="00E544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Default="00C35881" w:rsidP="00F837B3">
    <w:pPr>
      <w:pStyle w:val="a5"/>
      <w:framePr w:wrap="around" w:vAnchor="text" w:hAnchor="margin" w:xAlign="center" w:y="1"/>
      <w:rPr>
        <w:rStyle w:val="a9"/>
      </w:rPr>
    </w:pPr>
    <w:r>
      <w:rPr>
        <w:rStyle w:val="a9"/>
      </w:rPr>
      <w:fldChar w:fldCharType="begin"/>
    </w:r>
    <w:r w:rsidR="00E544AD">
      <w:rPr>
        <w:rStyle w:val="a9"/>
      </w:rPr>
      <w:instrText xml:space="preserve"> PAGE </w:instrText>
    </w:r>
    <w:r>
      <w:rPr>
        <w:rStyle w:val="a9"/>
      </w:rPr>
      <w:fldChar w:fldCharType="end"/>
    </w:r>
  </w:p>
  <w:p w:rsidR="00E544AD" w:rsidRDefault="00E544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Pr="00E544AD" w:rsidRDefault="00C35881" w:rsidP="00F837B3">
    <w:pPr>
      <w:pStyle w:val="a5"/>
      <w:framePr w:wrap="around" w:vAnchor="text" w:hAnchor="margin" w:xAlign="center" w:y="1"/>
      <w:rPr>
        <w:rStyle w:val="a9"/>
        <w:rFonts w:ascii="Times New Roman" w:hAnsi="Times New Roman" w:cs="Times New Roman"/>
        <w:sz w:val="24"/>
      </w:rPr>
    </w:pPr>
    <w:r w:rsidRPr="00E544AD">
      <w:rPr>
        <w:rStyle w:val="a9"/>
        <w:rFonts w:ascii="Times New Roman" w:hAnsi="Times New Roman" w:cs="Times New Roman"/>
        <w:sz w:val="24"/>
      </w:rPr>
      <w:fldChar w:fldCharType="begin"/>
    </w:r>
    <w:r w:rsidR="00E544AD" w:rsidRPr="00E544AD">
      <w:rPr>
        <w:rStyle w:val="a9"/>
        <w:rFonts w:ascii="Times New Roman" w:hAnsi="Times New Roman" w:cs="Times New Roman"/>
        <w:sz w:val="24"/>
      </w:rPr>
      <w:instrText xml:space="preserve"> PAGE </w:instrText>
    </w:r>
    <w:r w:rsidRPr="00E544AD">
      <w:rPr>
        <w:rStyle w:val="a9"/>
        <w:rFonts w:ascii="Times New Roman" w:hAnsi="Times New Roman" w:cs="Times New Roman"/>
        <w:sz w:val="24"/>
      </w:rPr>
      <w:fldChar w:fldCharType="separate"/>
    </w:r>
    <w:r w:rsidR="00D332F6">
      <w:rPr>
        <w:rStyle w:val="a9"/>
        <w:rFonts w:ascii="Times New Roman" w:hAnsi="Times New Roman" w:cs="Times New Roman"/>
        <w:noProof/>
        <w:sz w:val="24"/>
      </w:rPr>
      <w:t>2</w:t>
    </w:r>
    <w:r w:rsidRPr="00E544AD">
      <w:rPr>
        <w:rStyle w:val="a9"/>
        <w:rFonts w:ascii="Times New Roman" w:hAnsi="Times New Roman" w:cs="Times New Roman"/>
        <w:sz w:val="24"/>
      </w:rPr>
      <w:fldChar w:fldCharType="end"/>
    </w:r>
  </w:p>
  <w:p w:rsidR="00E544AD" w:rsidRPr="00E544AD" w:rsidRDefault="00E544AD">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Default="00E544A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AD"/>
    <w:rsid w:val="006332C5"/>
    <w:rsid w:val="00997ECC"/>
    <w:rsid w:val="009B45CA"/>
    <w:rsid w:val="009D4339"/>
    <w:rsid w:val="00B50ADA"/>
    <w:rsid w:val="00C35881"/>
    <w:rsid w:val="00D07C5E"/>
    <w:rsid w:val="00D332F6"/>
    <w:rsid w:val="00E5391D"/>
    <w:rsid w:val="00E54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6118EB-0EBC-4145-A73F-F2BE07D1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8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4AD"/>
    <w:rPr>
      <w:color w:val="154C94"/>
      <w:u w:val="single"/>
    </w:rPr>
  </w:style>
  <w:style w:type="character" w:styleId="a4">
    <w:name w:val="FollowedHyperlink"/>
    <w:basedOn w:val="a0"/>
    <w:uiPriority w:val="99"/>
    <w:semiHidden/>
    <w:unhideWhenUsed/>
    <w:rsid w:val="00E544AD"/>
    <w:rPr>
      <w:color w:val="154C94"/>
      <w:u w:val="single"/>
    </w:rPr>
  </w:style>
  <w:style w:type="paragraph" w:customStyle="1" w:styleId="msonormal0">
    <w:name w:val="msonormal"/>
    <w:basedOn w:val="a"/>
    <w:rsid w:val="00E544A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E544A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E544A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544A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544AD"/>
    <w:pPr>
      <w:spacing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544A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544AD"/>
    <w:pPr>
      <w:spacing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544AD"/>
    <w:pPr>
      <w:spacing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544A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544AD"/>
    <w:pPr>
      <w:spacing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544AD"/>
    <w:pPr>
      <w:spacing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544AD"/>
    <w:pPr>
      <w:spacing w:line="240" w:lineRule="auto"/>
      <w:jc w:val="right"/>
    </w:pPr>
    <w:rPr>
      <w:rFonts w:ascii="Times New Roman" w:eastAsiaTheme="minorEastAsia" w:hAnsi="Times New Roman" w:cs="Times New Roman"/>
      <w:lang w:eastAsia="ru-RU"/>
    </w:rPr>
  </w:style>
  <w:style w:type="paragraph" w:customStyle="1" w:styleId="titleu">
    <w:name w:val="titleu"/>
    <w:basedOn w:val="a"/>
    <w:rsid w:val="00E544A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544AD"/>
    <w:pPr>
      <w:spacing w:before="24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544AD"/>
    <w:pPr>
      <w:spacing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544AD"/>
    <w:pPr>
      <w:spacing w:line="240" w:lineRule="auto"/>
    </w:pPr>
    <w:rPr>
      <w:rFonts w:ascii="Times New Roman" w:eastAsiaTheme="minorEastAsia" w:hAnsi="Times New Roman" w:cs="Times New Roman"/>
      <w:lang w:eastAsia="ru-RU"/>
    </w:rPr>
  </w:style>
  <w:style w:type="paragraph" w:customStyle="1" w:styleId="odobren1">
    <w:name w:val="odobren1"/>
    <w:basedOn w:val="a"/>
    <w:rsid w:val="00E544A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544AD"/>
    <w:pPr>
      <w:spacing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544A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544AD"/>
    <w:pPr>
      <w:spacing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544A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544AD"/>
    <w:pPr>
      <w:spacing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544AD"/>
    <w:pPr>
      <w:spacing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544AD"/>
    <w:pPr>
      <w:spacing w:line="240" w:lineRule="auto"/>
    </w:pPr>
    <w:rPr>
      <w:rFonts w:ascii="Times New Roman" w:eastAsiaTheme="minorEastAsia" w:hAnsi="Times New Roman" w:cs="Times New Roman"/>
      <w:lang w:eastAsia="ru-RU"/>
    </w:rPr>
  </w:style>
  <w:style w:type="paragraph" w:customStyle="1" w:styleId="prinodobren">
    <w:name w:val="prinodobren"/>
    <w:basedOn w:val="a"/>
    <w:rsid w:val="00E544A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544AD"/>
    <w:pPr>
      <w:spacing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544AD"/>
    <w:pPr>
      <w:spacing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544AD"/>
    <w:pPr>
      <w:spacing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544AD"/>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544AD"/>
    <w:pPr>
      <w:spacing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544A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544A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544A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544AD"/>
    <w:pPr>
      <w:spacing w:line="240" w:lineRule="auto"/>
    </w:pPr>
    <w:rPr>
      <w:rFonts w:ascii="Times New Roman" w:eastAsiaTheme="minorEastAsia" w:hAnsi="Times New Roman" w:cs="Times New Roman"/>
      <w:lang w:eastAsia="ru-RU"/>
    </w:rPr>
  </w:style>
  <w:style w:type="paragraph" w:customStyle="1" w:styleId="capu1">
    <w:name w:val="capu1"/>
    <w:basedOn w:val="a"/>
    <w:rsid w:val="00E544A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544AD"/>
    <w:pPr>
      <w:spacing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544AD"/>
    <w:pPr>
      <w:spacing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544AD"/>
    <w:pPr>
      <w:spacing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544A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544AD"/>
    <w:pPr>
      <w:spacing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544A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544A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544AD"/>
    <w:pPr>
      <w:spacing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544AD"/>
    <w:pPr>
      <w:spacing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544AD"/>
    <w:pPr>
      <w:spacing w:before="12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544AD"/>
    <w:pPr>
      <w:spacing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544AD"/>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544AD"/>
    <w:pPr>
      <w:spacing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544AD"/>
    <w:pPr>
      <w:spacing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544AD"/>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544A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544A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544AD"/>
    <w:pPr>
      <w:spacing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544AD"/>
    <w:pPr>
      <w:spacing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544A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544AD"/>
    <w:pPr>
      <w:spacing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544AD"/>
    <w:pPr>
      <w:spacing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544AD"/>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544AD"/>
    <w:pPr>
      <w:spacing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544AD"/>
    <w:pPr>
      <w:spacing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544AD"/>
    <w:pPr>
      <w:spacing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544AD"/>
    <w:pPr>
      <w:spacing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544AD"/>
    <w:pPr>
      <w:spacing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544A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544A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544A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544A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544A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544A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544AD"/>
    <w:rPr>
      <w:rFonts w:ascii="Times New Roman" w:hAnsi="Times New Roman" w:cs="Times New Roman" w:hint="default"/>
      <w:caps/>
    </w:rPr>
  </w:style>
  <w:style w:type="character" w:customStyle="1" w:styleId="promulgator">
    <w:name w:val="promulgator"/>
    <w:basedOn w:val="a0"/>
    <w:rsid w:val="00E544AD"/>
    <w:rPr>
      <w:rFonts w:ascii="Times New Roman" w:hAnsi="Times New Roman" w:cs="Times New Roman" w:hint="default"/>
      <w:caps/>
    </w:rPr>
  </w:style>
  <w:style w:type="character" w:customStyle="1" w:styleId="datepr">
    <w:name w:val="datepr"/>
    <w:basedOn w:val="a0"/>
    <w:rsid w:val="00E544AD"/>
    <w:rPr>
      <w:rFonts w:ascii="Times New Roman" w:hAnsi="Times New Roman" w:cs="Times New Roman" w:hint="default"/>
    </w:rPr>
  </w:style>
  <w:style w:type="character" w:customStyle="1" w:styleId="datecity">
    <w:name w:val="datecity"/>
    <w:basedOn w:val="a0"/>
    <w:rsid w:val="00E544AD"/>
    <w:rPr>
      <w:rFonts w:ascii="Times New Roman" w:hAnsi="Times New Roman" w:cs="Times New Roman" w:hint="default"/>
      <w:sz w:val="24"/>
      <w:szCs w:val="24"/>
    </w:rPr>
  </w:style>
  <w:style w:type="character" w:customStyle="1" w:styleId="datereg">
    <w:name w:val="datereg"/>
    <w:basedOn w:val="a0"/>
    <w:rsid w:val="00E544AD"/>
    <w:rPr>
      <w:rFonts w:ascii="Times New Roman" w:hAnsi="Times New Roman" w:cs="Times New Roman" w:hint="default"/>
    </w:rPr>
  </w:style>
  <w:style w:type="character" w:customStyle="1" w:styleId="number">
    <w:name w:val="number"/>
    <w:basedOn w:val="a0"/>
    <w:rsid w:val="00E544AD"/>
    <w:rPr>
      <w:rFonts w:ascii="Times New Roman" w:hAnsi="Times New Roman" w:cs="Times New Roman" w:hint="default"/>
    </w:rPr>
  </w:style>
  <w:style w:type="character" w:customStyle="1" w:styleId="bigsimbol">
    <w:name w:val="bigsimbol"/>
    <w:basedOn w:val="a0"/>
    <w:rsid w:val="00E544AD"/>
    <w:rPr>
      <w:rFonts w:ascii="Times New Roman" w:hAnsi="Times New Roman" w:cs="Times New Roman" w:hint="default"/>
      <w:caps/>
    </w:rPr>
  </w:style>
  <w:style w:type="character" w:customStyle="1" w:styleId="razr">
    <w:name w:val="razr"/>
    <w:basedOn w:val="a0"/>
    <w:rsid w:val="00E544AD"/>
    <w:rPr>
      <w:rFonts w:ascii="Times New Roman" w:hAnsi="Times New Roman" w:cs="Times New Roman" w:hint="default"/>
      <w:spacing w:val="30"/>
    </w:rPr>
  </w:style>
  <w:style w:type="character" w:customStyle="1" w:styleId="onesymbol">
    <w:name w:val="onesymbol"/>
    <w:basedOn w:val="a0"/>
    <w:rsid w:val="00E544AD"/>
    <w:rPr>
      <w:rFonts w:ascii="Symbol" w:hAnsi="Symbol" w:hint="default"/>
    </w:rPr>
  </w:style>
  <w:style w:type="character" w:customStyle="1" w:styleId="onewind3">
    <w:name w:val="onewind3"/>
    <w:basedOn w:val="a0"/>
    <w:rsid w:val="00E544AD"/>
    <w:rPr>
      <w:rFonts w:ascii="Wingdings 3" w:hAnsi="Wingdings 3" w:hint="default"/>
    </w:rPr>
  </w:style>
  <w:style w:type="character" w:customStyle="1" w:styleId="onewind2">
    <w:name w:val="onewind2"/>
    <w:basedOn w:val="a0"/>
    <w:rsid w:val="00E544AD"/>
    <w:rPr>
      <w:rFonts w:ascii="Wingdings 2" w:hAnsi="Wingdings 2" w:hint="default"/>
    </w:rPr>
  </w:style>
  <w:style w:type="character" w:customStyle="1" w:styleId="onewind">
    <w:name w:val="onewind"/>
    <w:basedOn w:val="a0"/>
    <w:rsid w:val="00E544AD"/>
    <w:rPr>
      <w:rFonts w:ascii="Wingdings" w:hAnsi="Wingdings" w:hint="default"/>
    </w:rPr>
  </w:style>
  <w:style w:type="character" w:customStyle="1" w:styleId="rednoun">
    <w:name w:val="rednoun"/>
    <w:basedOn w:val="a0"/>
    <w:rsid w:val="00E544AD"/>
  </w:style>
  <w:style w:type="character" w:customStyle="1" w:styleId="post">
    <w:name w:val="post"/>
    <w:basedOn w:val="a0"/>
    <w:rsid w:val="00E544AD"/>
    <w:rPr>
      <w:rFonts w:ascii="Times New Roman" w:hAnsi="Times New Roman" w:cs="Times New Roman" w:hint="default"/>
      <w:b/>
      <w:bCs/>
      <w:sz w:val="22"/>
      <w:szCs w:val="22"/>
    </w:rPr>
  </w:style>
  <w:style w:type="character" w:customStyle="1" w:styleId="pers">
    <w:name w:val="pers"/>
    <w:basedOn w:val="a0"/>
    <w:rsid w:val="00E544AD"/>
    <w:rPr>
      <w:rFonts w:ascii="Times New Roman" w:hAnsi="Times New Roman" w:cs="Times New Roman" w:hint="default"/>
      <w:b/>
      <w:bCs/>
      <w:sz w:val="22"/>
      <w:szCs w:val="22"/>
    </w:rPr>
  </w:style>
  <w:style w:type="character" w:customStyle="1" w:styleId="arabic">
    <w:name w:val="arabic"/>
    <w:basedOn w:val="a0"/>
    <w:rsid w:val="00E544AD"/>
    <w:rPr>
      <w:rFonts w:ascii="Times New Roman" w:hAnsi="Times New Roman" w:cs="Times New Roman" w:hint="default"/>
    </w:rPr>
  </w:style>
  <w:style w:type="character" w:customStyle="1" w:styleId="articlec">
    <w:name w:val="articlec"/>
    <w:basedOn w:val="a0"/>
    <w:rsid w:val="00E544AD"/>
    <w:rPr>
      <w:rFonts w:ascii="Times New Roman" w:hAnsi="Times New Roman" w:cs="Times New Roman" w:hint="default"/>
      <w:b/>
      <w:bCs/>
    </w:rPr>
  </w:style>
  <w:style w:type="character" w:customStyle="1" w:styleId="roman">
    <w:name w:val="roman"/>
    <w:basedOn w:val="a0"/>
    <w:rsid w:val="00E544AD"/>
    <w:rPr>
      <w:rFonts w:ascii="Arial" w:hAnsi="Arial" w:cs="Arial" w:hint="default"/>
    </w:rPr>
  </w:style>
  <w:style w:type="character" w:customStyle="1" w:styleId="snoskiindex">
    <w:name w:val="snoskiindex"/>
    <w:basedOn w:val="a0"/>
    <w:rsid w:val="00E544AD"/>
    <w:rPr>
      <w:rFonts w:ascii="Times New Roman" w:hAnsi="Times New Roman" w:cs="Times New Roman" w:hint="default"/>
    </w:rPr>
  </w:style>
  <w:style w:type="table" w:customStyle="1" w:styleId="tablencpi">
    <w:name w:val="tablencpi"/>
    <w:basedOn w:val="a1"/>
    <w:rsid w:val="00E544AD"/>
    <w:pPr>
      <w:spacing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E544AD"/>
    <w:pPr>
      <w:tabs>
        <w:tab w:val="center" w:pos="4677"/>
        <w:tab w:val="right" w:pos="9355"/>
      </w:tabs>
      <w:spacing w:line="240" w:lineRule="auto"/>
    </w:pPr>
  </w:style>
  <w:style w:type="character" w:customStyle="1" w:styleId="a6">
    <w:name w:val="Верхний колонтитул Знак"/>
    <w:basedOn w:val="a0"/>
    <w:link w:val="a5"/>
    <w:uiPriority w:val="99"/>
    <w:rsid w:val="00E544AD"/>
  </w:style>
  <w:style w:type="paragraph" w:styleId="a7">
    <w:name w:val="footer"/>
    <w:basedOn w:val="a"/>
    <w:link w:val="a8"/>
    <w:uiPriority w:val="99"/>
    <w:unhideWhenUsed/>
    <w:rsid w:val="00E544AD"/>
    <w:pPr>
      <w:tabs>
        <w:tab w:val="center" w:pos="4677"/>
        <w:tab w:val="right" w:pos="9355"/>
      </w:tabs>
      <w:spacing w:line="240" w:lineRule="auto"/>
    </w:pPr>
  </w:style>
  <w:style w:type="character" w:customStyle="1" w:styleId="a8">
    <w:name w:val="Нижний колонтитул Знак"/>
    <w:basedOn w:val="a0"/>
    <w:link w:val="a7"/>
    <w:uiPriority w:val="99"/>
    <w:rsid w:val="00E544AD"/>
  </w:style>
  <w:style w:type="character" w:styleId="a9">
    <w:name w:val="page number"/>
    <w:basedOn w:val="a0"/>
    <w:uiPriority w:val="99"/>
    <w:semiHidden/>
    <w:unhideWhenUsed/>
    <w:rsid w:val="00E544AD"/>
  </w:style>
  <w:style w:type="table" w:styleId="aa">
    <w:name w:val="Table Grid"/>
    <w:basedOn w:val="a1"/>
    <w:uiPriority w:val="39"/>
    <w:rsid w:val="00E544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5391D"/>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3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Рудяк</dc:creator>
  <cp:lastModifiedBy>KOMP4</cp:lastModifiedBy>
  <cp:revision>2</cp:revision>
  <dcterms:created xsi:type="dcterms:W3CDTF">2025-01-14T12:36:00Z</dcterms:created>
  <dcterms:modified xsi:type="dcterms:W3CDTF">2025-01-14T12:36:00Z</dcterms:modified>
</cp:coreProperties>
</file>