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7" w:rsidRDefault="00A36417" w:rsidP="00A36417">
      <w:pPr>
        <w:jc w:val="both"/>
      </w:pPr>
      <w:r>
        <w:rPr>
          <w:b/>
        </w:rPr>
        <w:t xml:space="preserve">ПЕРЕЧЕНЬ АДМИНИСТРАТИВНЫХ ПРОЦЕДУР, ПРИЕМ ЗАЯВЛЕНИЙ И ВЫДАЧА РЕШЕНИЙ ПО КОТОРЫМ ОСУЩЕСТВЛЯЕТСЯ В  СЛУЖБЕ «ОДНО ОКНО» </w:t>
      </w:r>
      <w:r w:rsidR="00696F9E">
        <w:rPr>
          <w:b/>
        </w:rPr>
        <w:t>ВОРОНОВСКОГО</w:t>
      </w:r>
      <w:r>
        <w:rPr>
          <w:b/>
        </w:rPr>
        <w:t xml:space="preserve"> РАЙОННОГО ИСПОЛНИТЕЛЬНОГО КОМИТЕТА В ОТНОШЕНИИ ЮРИДИЧЕСКИХ ЛИЦ И ИНДИВИДУАЛЬНЫХ ПРЕДПРИНИМАТЕЛЕЙ </w:t>
      </w:r>
    </w:p>
    <w:p w:rsidR="007A1193" w:rsidRPr="00F653FA" w:rsidRDefault="007A1193" w:rsidP="007A1193">
      <w:pPr>
        <w:jc w:val="both"/>
      </w:pPr>
      <w:proofErr w:type="gramStart"/>
      <w:r w:rsidRPr="00F653FA">
        <w:t xml:space="preserve">в соответствии с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 г"/>
        </w:smartTagPr>
        <w:r w:rsidRPr="00F653FA">
          <w:t>2012 г</w:t>
        </w:r>
      </w:smartTag>
      <w:r w:rsidRPr="00F653FA">
        <w:t xml:space="preserve">. № 156 «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F653FA">
          <w:t>2009 г</w:t>
        </w:r>
      </w:smartTag>
      <w:r w:rsidRPr="00F653FA">
        <w:t xml:space="preserve">. №193 и признании утратившими силу некоторых постановлений Совета Министров Республики Беларусь» </w:t>
      </w:r>
      <w:proofErr w:type="gramEnd"/>
    </w:p>
    <w:p w:rsidR="00A1791F" w:rsidRPr="00F653FA" w:rsidRDefault="00A1791F"/>
    <w:tbl>
      <w:tblPr>
        <w:tblW w:w="501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3683"/>
        <w:gridCol w:w="3970"/>
        <w:gridCol w:w="1843"/>
        <w:gridCol w:w="1843"/>
        <w:gridCol w:w="1843"/>
      </w:tblGrid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F54687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Д</w:t>
            </w:r>
            <w:r w:rsidR="00F2645C" w:rsidRPr="0004577D">
              <w:rPr>
                <w:b/>
              </w:rPr>
              <w:t>олжностное лицо, ответственное за</w:t>
            </w:r>
            <w:r w:rsidR="00A1791F" w:rsidRPr="0004577D">
              <w:rPr>
                <w:b/>
              </w:rPr>
              <w:t xml:space="preserve"> осуществление административной процедуры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Срок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Размер платы, взимаемой при осуществлении административной процедуры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3.1. </w:t>
            </w:r>
            <w:r w:rsidR="00B9389C">
              <w:rPr>
                <w:color w:val="000000"/>
                <w:shd w:val="clear" w:color="auto" w:fill="FFFFFF"/>
              </w:rPr>
              <w:t> 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25D28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6D5630" w:rsidRPr="0004577D" w:rsidRDefault="001767A4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6D5630">
              <w:rPr>
                <w:sz w:val="20"/>
                <w:szCs w:val="20"/>
              </w:rPr>
              <w:t>.п</w:t>
            </w:r>
            <w:proofErr w:type="spellEnd"/>
            <w:r w:rsidR="006D5630">
              <w:rPr>
                <w:sz w:val="20"/>
                <w:szCs w:val="20"/>
              </w:rPr>
              <w:t>. Вороново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 xml:space="preserve">36А 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3A4474" w:rsidRPr="0004577D" w:rsidRDefault="003A4474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 w:rsidR="00D515C1">
              <w:rPr>
                <w:sz w:val="20"/>
                <w:szCs w:val="20"/>
              </w:rPr>
              <w:t xml:space="preserve">отдела </w:t>
            </w:r>
            <w:r w:rsidR="006D5630"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 w:rsidR="002C6B5C">
              <w:rPr>
                <w:sz w:val="20"/>
                <w:szCs w:val="20"/>
              </w:rPr>
              <w:t xml:space="preserve"> райисполкома</w:t>
            </w:r>
          </w:p>
          <w:p w:rsidR="00D40C02" w:rsidRPr="0004577D" w:rsidRDefault="006D5630" w:rsidP="0004577D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Default="0015714F" w:rsidP="006D5630">
            <w:pPr>
              <w:pStyle w:val="table10"/>
              <w:spacing w:line="200" w:lineRule="exact"/>
            </w:pPr>
            <w:r w:rsidRPr="0004577D">
              <w:t>тел.</w:t>
            </w:r>
            <w:r w:rsidR="00D40C02" w:rsidRPr="0004577D">
              <w:t> </w:t>
            </w:r>
            <w:r w:rsidR="006D5630">
              <w:t>20467</w:t>
            </w:r>
          </w:p>
          <w:p w:rsidR="002C6B5C" w:rsidRPr="0004577D" w:rsidRDefault="002C6B5C" w:rsidP="006D5630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B9389C" w:rsidP="0004577D">
            <w:pPr>
              <w:pStyle w:val="table10"/>
              <w:spacing w:line="200" w:lineRule="exact"/>
            </w:pPr>
            <w:r>
              <w:rPr>
                <w:color w:val="000000"/>
                <w:shd w:val="clear" w:color="auto" w:fill="FFFFFF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декларация о намерениях</w:t>
            </w:r>
            <w:bookmarkStart w:id="0" w:name="_GoBack"/>
            <w:bookmarkEnd w:id="0"/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оплаты работ по договору подряда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 до приемки объекта в эксплуатацию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плата за услуги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297F70" w:rsidP="0004577D">
            <w:pPr>
              <w:pStyle w:val="table10"/>
              <w:spacing w:line="200" w:lineRule="exact"/>
            </w:pPr>
            <w:r w:rsidRPr="0004577D">
              <w:t xml:space="preserve">3.1¹. Выдача решения о разрешении на реконструкцию жилых и (или) нежилых помещений </w:t>
            </w:r>
            <w:r w:rsidR="00C22AD9" w:rsidRPr="0004577D">
              <w:t xml:space="preserve">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2C6B5C" w:rsidRPr="0004577D" w:rsidRDefault="002C6B5C" w:rsidP="002C6B5C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главный специалист</w:t>
            </w:r>
            <w:r w:rsidR="00D515C1">
              <w:rPr>
                <w:sz w:val="20"/>
                <w:szCs w:val="20"/>
              </w:rPr>
              <w:t xml:space="preserve"> отдела</w:t>
            </w:r>
            <w:r w:rsidRPr="00045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2C6B5C" w:rsidRPr="0004577D" w:rsidRDefault="002C6B5C" w:rsidP="002C6B5C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297F70" w:rsidRPr="0004577D" w:rsidRDefault="002C6B5C" w:rsidP="002C6B5C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C22AD9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  <w:p w:rsidR="00C22AD9" w:rsidRPr="0004577D" w:rsidRDefault="00C22AD9" w:rsidP="0004577D">
            <w:pPr>
              <w:pStyle w:val="table10"/>
              <w:spacing w:line="200" w:lineRule="exact"/>
            </w:pPr>
            <w:r w:rsidRPr="0004577D">
              <w:t>копия документа, подтверждающего государственную регистрацию юридического  лица  или индивидуального предпринимателя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803D1A" w:rsidRPr="0004577D" w:rsidRDefault="00C22AD9" w:rsidP="0004577D">
            <w:pPr>
              <w:pStyle w:val="table10"/>
              <w:spacing w:line="200" w:lineRule="exact"/>
            </w:pPr>
            <w:r w:rsidRPr="0004577D">
              <w:t>технический паспорт и документ, подтверждающий  право собственности, право хозяйственного ведения или оперативного управления  на помещение, дом, постройку, - для собственника, обладателя права хозяйственного ведения или оперативного управления на помещения, дом, постройку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E3003B" w:rsidRPr="0004577D" w:rsidRDefault="00803D1A" w:rsidP="0004577D">
            <w:pPr>
              <w:pStyle w:val="table10"/>
              <w:spacing w:line="200" w:lineRule="exact"/>
            </w:pPr>
            <w:r w:rsidRPr="0004577D">
              <w:t>описание работ и планов застройщика по реконструкции помещения</w:t>
            </w:r>
            <w:r w:rsidR="00E3003B" w:rsidRPr="0004577D">
              <w:t>, дома, постройки, составленное в произвольной форме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E3003B" w:rsidRPr="0004577D" w:rsidRDefault="00E3003B" w:rsidP="0004577D">
            <w:pPr>
              <w:pStyle w:val="table10"/>
              <w:spacing w:line="200" w:lineRule="exact"/>
            </w:pPr>
            <w:r w:rsidRPr="0004577D">
              <w:t>письменное согласие собственника на реконструкцию помещения, дома, постройки-если это помещение, дом, постройка предоставлены по договору аренды, безвозмездного пользования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C22AD9" w:rsidRPr="0004577D" w:rsidRDefault="00E3003B" w:rsidP="0004577D">
            <w:pPr>
              <w:pStyle w:val="table10"/>
              <w:spacing w:line="200" w:lineRule="exact"/>
            </w:pPr>
            <w:r w:rsidRPr="0004577D"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-в случае, если судом принималось такое решение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D424C5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>3.15</w:t>
            </w:r>
            <w:r w:rsidRPr="0004577D">
              <w:rPr>
                <w:color w:val="000000"/>
                <w:vertAlign w:val="superscript"/>
              </w:rPr>
              <w:t>6</w:t>
            </w:r>
            <w:r w:rsidRPr="0004577D">
              <w:rPr>
                <w:color w:val="000000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56010D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341759" w:rsidP="0004577D">
            <w:pPr>
              <w:pStyle w:val="table10"/>
              <w:spacing w:line="200" w:lineRule="exact"/>
            </w:pPr>
            <w:r w:rsidRPr="0004577D">
              <w:t>з</w:t>
            </w:r>
            <w:r w:rsidR="00857968" w:rsidRPr="0004577D">
              <w:t>аявление, содержащее сведения о выданном НАН Беларуси заключении о согласовании</w:t>
            </w:r>
            <w:r w:rsidR="00093847">
              <w:t xml:space="preserve"> </w:t>
            </w:r>
            <w:r w:rsidRPr="0004577D">
              <w:t xml:space="preserve">проектной  документации на выполнение земляных, строительных, мелиоративных и других работ, осуществления иной деятельности на территории археологических объектов, за исключением памятников археологии 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  <w:r w:rsidRPr="0004577D">
              <w:t>документ, удостоверяющий  право на земельный участок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  <w:r w:rsidRPr="0004577D">
              <w:t>науч</w:t>
            </w:r>
            <w:r w:rsidR="00093847">
              <w:t>н</w:t>
            </w:r>
            <w:r w:rsidRPr="0004577D">
              <w:t>о</w:t>
            </w:r>
            <w:r w:rsidR="00C56B08" w:rsidRPr="0004577D">
              <w:t>-проектная документация, включающая меры по охране археологических объектов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10 календарных дней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до конца календарного года, в котором запланировано выполнение работ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Pr="0004577D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заключение о надежности, несущей способности и устойчивости конструкции самовольной постройки</w:t>
            </w:r>
            <w:r w:rsidRPr="0004577D">
              <w:br/>
            </w:r>
            <w:r w:rsidRPr="0004577D"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04577D">
              <w:br/>
            </w:r>
            <w:r w:rsidRPr="0004577D">
              <w:br/>
              <w:t>технические условия на инженерно-техническое обеспечение объекта</w:t>
            </w:r>
            <w:r w:rsidRPr="0004577D">
              <w:br/>
            </w:r>
            <w:r w:rsidRPr="0004577D">
              <w:br/>
              <w:t>документ, удостоверяющий право на земельный участок</w:t>
            </w:r>
            <w:r w:rsidRPr="0004577D">
              <w:br/>
            </w:r>
            <w:r w:rsidRPr="0004577D"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бесплатно 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1</w:t>
            </w:r>
            <w:r w:rsidRPr="0004577D">
              <w:t xml:space="preserve"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</w:t>
            </w:r>
            <w:r w:rsidRPr="0004577D">
              <w:lastRenderedPageBreak/>
              <w:t>классификацией назначения объектов недвижимого имущества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lastRenderedPageBreak/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D515C1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</w:t>
            </w:r>
            <w:r w:rsidR="00F54687" w:rsidRPr="0004577D">
              <w:rPr>
                <w:b/>
                <w:sz w:val="20"/>
                <w:szCs w:val="20"/>
              </w:rPr>
              <w:lastRenderedPageBreak/>
              <w:t>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D515C1" w:rsidRPr="00D515C1" w:rsidRDefault="00D515C1" w:rsidP="00D515C1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lastRenderedPageBreak/>
              <w:t>заявление</w:t>
            </w:r>
            <w:r w:rsidRPr="0004577D">
              <w:br/>
            </w:r>
            <w:r w:rsidRPr="0004577D"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04577D">
              <w:br/>
            </w:r>
            <w:r w:rsidRPr="0004577D">
              <w:br/>
            </w:r>
            <w:r w:rsidRPr="0004577D">
              <w:lastRenderedPageBreak/>
              <w:t>технический паспорт или ведомость технических характеристик</w:t>
            </w:r>
            <w:r w:rsidRPr="0004577D">
              <w:br/>
            </w:r>
            <w:r w:rsidRPr="0004577D"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3.30</w:t>
            </w:r>
            <w:r w:rsidRPr="0004577D">
              <w:rPr>
                <w:vertAlign w:val="superscript"/>
              </w:rPr>
              <w:t>2</w:t>
            </w:r>
            <w:r w:rsidRPr="0004577D"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767A4" w:rsidRDefault="001767A4" w:rsidP="0004577D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D515C1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  <w:rPr>
                <w:lang w:val="en-US"/>
              </w:rPr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-места, часть которого погибла – для построек более одного этажа</w:t>
            </w:r>
            <w:r w:rsidRPr="0004577D">
              <w:br/>
            </w:r>
            <w:r w:rsidRPr="0004577D">
              <w:br/>
              <w:t>технический паспорт или ведомость технических характеристик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594" w:rsidRPr="0004577D" w:rsidRDefault="00A1791F" w:rsidP="0004577D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3</w:t>
            </w:r>
            <w:r w:rsidRPr="0004577D"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D515C1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или ведомость технических характеристик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6.54. Выдача разрешения на удаление объектов растительного мира 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Pr="0004577D" w:rsidRDefault="008557B9" w:rsidP="008557B9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8557B9" w:rsidRDefault="008557B9" w:rsidP="008557B9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год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6.55. Выдача разрешения на пересадку объектов растительного мира 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Pr="0004577D" w:rsidRDefault="008557B9" w:rsidP="008557B9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8557B9" w:rsidRDefault="008557B9" w:rsidP="008557B9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год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8.1.3. </w:t>
            </w:r>
            <w:r w:rsidR="007E7140" w:rsidRPr="0004577D">
              <w:t xml:space="preserve">Принятие решения </w:t>
            </w:r>
            <w:r w:rsidRPr="0004577D">
              <w:t>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020083" w:rsidRPr="0004577D" w:rsidRDefault="00020083" w:rsidP="009E1830">
            <w:pPr>
              <w:spacing w:line="200" w:lineRule="exact"/>
              <w:rPr>
                <w:sz w:val="20"/>
                <w:szCs w:val="20"/>
              </w:rPr>
            </w:pP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15 дней, а в случае 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8.1.5.</w:t>
            </w:r>
            <w:r w:rsidR="007E7140" w:rsidRPr="0004577D">
              <w:t xml:space="preserve"> Принятие решения</w:t>
            </w:r>
            <w:r w:rsidRPr="0004577D">
              <w:t xml:space="preserve"> о переводе жилого помещения в нежилое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9E1830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04577D">
              <w:br/>
            </w:r>
            <w:r w:rsidRPr="0004577D"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8.1.6. </w:t>
            </w:r>
            <w:r w:rsidR="007E7140" w:rsidRPr="0004577D">
              <w:t xml:space="preserve">Принятие решения </w:t>
            </w:r>
            <w:r w:rsidRPr="0004577D">
              <w:t>об отмене решения о переводе жилого помещения в нежилое, нежилого помещения в 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554C2E" w:rsidRPr="0004577D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554C2E" w:rsidRPr="0004577D" w:rsidRDefault="00554C2E" w:rsidP="00554C2E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554C2E" w:rsidRDefault="00554C2E" w:rsidP="00554C2E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554C2E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554C2E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554C2E" w:rsidRPr="0004577D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15 дней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8.1.8. </w:t>
            </w:r>
            <w:r w:rsidR="007E7140" w:rsidRPr="0004577D">
              <w:t xml:space="preserve">Принятие решения </w:t>
            </w:r>
            <w:r w:rsidRPr="0004577D">
              <w:t>о согласовании (разрешении) переустройства и (или) перепланировки жилого помещения</w:t>
            </w:r>
            <w:r w:rsidR="00572691" w:rsidRPr="0004577D">
              <w:t>, нежилого помещения</w:t>
            </w:r>
            <w:r w:rsidR="004825FC" w:rsidRPr="0004577D">
              <w:t>,</w:t>
            </w:r>
            <w:r w:rsidR="00876B8E" w:rsidRPr="0004577D">
              <w:t xml:space="preserve"> в жилом доме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2A92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</w:p>
          <w:p w:rsidR="00932A92" w:rsidRPr="0004577D" w:rsidRDefault="00932A92" w:rsidP="0004577D">
            <w:pPr>
              <w:pStyle w:val="table10"/>
              <w:spacing w:line="200" w:lineRule="exact"/>
            </w:pPr>
            <w:r w:rsidRPr="0004577D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br/>
              <w:t>технический паспорт и документ, подтверждающий право собственности</w:t>
            </w:r>
            <w:r w:rsidR="00932A92" w:rsidRPr="0004577D">
              <w:t>,</w:t>
            </w:r>
            <w:r w:rsidRPr="0004577D">
              <w:t>, право хозяйственного ведения или оперативного управления на жилое помещение</w:t>
            </w:r>
            <w:r w:rsidR="00932A92" w:rsidRPr="0004577D">
              <w:t>, - для собственника, обладателя права хозяйственного ведения или оперативного управления на помещение</w:t>
            </w:r>
            <w:r w:rsidRPr="0004577D">
              <w:br/>
            </w:r>
            <w:r w:rsidRPr="0004577D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04577D">
              <w:br/>
            </w:r>
            <w:r w:rsidRPr="0004577D"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</w:t>
            </w:r>
            <w:r w:rsidR="00932A92" w:rsidRPr="0004577D">
              <w:t xml:space="preserve"> безвозмездного пользования</w:t>
            </w:r>
            <w:r w:rsidRPr="0004577D">
              <w:br/>
            </w:r>
            <w:r w:rsidRPr="0004577D">
              <w:br/>
              <w:t>письменное согласие совершеннолетних</w:t>
            </w:r>
            <w:r w:rsidR="00C27215" w:rsidRPr="0004577D">
              <w:t xml:space="preserve"> граждан, имеющих право</w:t>
            </w:r>
            <w:r w:rsidR="00201F04" w:rsidRPr="0004577D">
              <w:t xml:space="preserve"> владения и пользования помещением, </w:t>
            </w:r>
            <w:proofErr w:type="spellStart"/>
            <w:r w:rsidR="00201F04" w:rsidRPr="0004577D">
              <w:t>переустроиство</w:t>
            </w:r>
            <w:proofErr w:type="spellEnd"/>
            <w:r w:rsidR="00201F04" w:rsidRPr="0004577D">
              <w:t xml:space="preserve"> и (или) перепланировка которого инициируются, и участников общей долевой собственности </w:t>
            </w:r>
            <w:r w:rsidR="00BC3A7B" w:rsidRPr="0004577D">
              <w:t xml:space="preserve"> двух или более лиц), а в случае временного отсутствия таких граждан и участников- удостоверенное нотариально их письменное согласие</w:t>
            </w:r>
            <w:r w:rsidRPr="0004577D">
              <w:br/>
            </w:r>
            <w:r w:rsidRPr="0004577D">
              <w:br/>
              <w:t xml:space="preserve">письменное согласие организации застройщиков в жилых домах этой организации – </w:t>
            </w:r>
            <w:r w:rsidR="00BC3A7B" w:rsidRPr="0004577D">
              <w:t>для члена организации застройщиков, не являющегося собственником помещения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8.1.10. </w:t>
            </w:r>
            <w:r w:rsidR="007E7140" w:rsidRPr="0004577D">
              <w:t xml:space="preserve">Принятие решения </w:t>
            </w:r>
            <w:r w:rsidRPr="0004577D">
              <w:t>о переводе нежилого помещения в 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нежилого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4577D">
              <w:br/>
            </w:r>
            <w:r w:rsidRPr="0004577D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CD7AF7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75708F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Default="001E2B5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главный специалист</w:t>
            </w:r>
            <w:r w:rsidR="009E1830">
              <w:rPr>
                <w:sz w:val="20"/>
                <w:szCs w:val="20"/>
              </w:rPr>
              <w:t xml:space="preserve"> службы «одно окно» </w:t>
            </w:r>
            <w:r w:rsidR="0075708F">
              <w:rPr>
                <w:sz w:val="20"/>
                <w:szCs w:val="20"/>
              </w:rPr>
              <w:t>Жданович Ирина Генриховна</w:t>
            </w:r>
            <w:r w:rsidR="009E1830">
              <w:rPr>
                <w:sz w:val="20"/>
                <w:szCs w:val="20"/>
              </w:rPr>
              <w:t>,</w:t>
            </w:r>
          </w:p>
          <w:p w:rsidR="008E6952" w:rsidRPr="0075708F" w:rsidRDefault="008E6952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</w:t>
            </w:r>
            <w:r w:rsidR="00B56303" w:rsidRPr="0004577D">
              <w:rPr>
                <w:sz w:val="20"/>
                <w:szCs w:val="20"/>
                <w:lang w:val="en-US"/>
              </w:rPr>
              <w:t> </w:t>
            </w:r>
            <w:r w:rsidR="0075708F">
              <w:rPr>
                <w:sz w:val="20"/>
                <w:szCs w:val="20"/>
              </w:rPr>
              <w:t>41627</w:t>
            </w:r>
          </w:p>
          <w:p w:rsidR="008E6952" w:rsidRPr="0004577D" w:rsidRDefault="008E6952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lastRenderedPageBreak/>
              <w:t>в случае отсутствия</w:t>
            </w:r>
          </w:p>
          <w:p w:rsidR="008E6952" w:rsidRPr="0075708F" w:rsidRDefault="009E1830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Михальцевич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Францевна</w:t>
            </w:r>
            <w:proofErr w:type="spellEnd"/>
          </w:p>
          <w:p w:rsidR="00C564F7" w:rsidRPr="0004577D" w:rsidRDefault="008E6952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тел. </w:t>
            </w:r>
            <w:r w:rsidR="009E1830">
              <w:rPr>
                <w:sz w:val="20"/>
                <w:szCs w:val="20"/>
              </w:rPr>
              <w:t>22255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lastRenderedPageBreak/>
              <w:t>заявление (запрос)</w:t>
            </w:r>
            <w:r w:rsidRPr="0004577D">
              <w:br/>
            </w:r>
          </w:p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документ, подтверждающий уплату государственной пошлины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для индивидуальных предпринимателей – 5 календарных дней</w:t>
            </w:r>
            <w:r w:rsidRPr="0004577D">
              <w:br/>
            </w:r>
            <w:r w:rsidRPr="0004577D">
              <w:br/>
              <w:t>для юридических лиц – 7 календарных дней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BD74AB" w:rsidRPr="0004577D" w:rsidTr="001767A4">
        <w:trPr>
          <w:trHeight w:val="699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lastRenderedPageBreak/>
              <w:t xml:space="preserve">17.17¹. Принятие решения, подтверждающего </w:t>
            </w:r>
            <w:proofErr w:type="spellStart"/>
            <w:r w:rsidRPr="0004577D">
              <w:t>приобретательную</w:t>
            </w:r>
            <w:proofErr w:type="spellEnd"/>
            <w:r w:rsidRPr="0004577D">
              <w:t xml:space="preserve"> давность на недвижимое имущество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9E1830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BD74AB" w:rsidRPr="0004577D" w:rsidRDefault="001E2B5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 w:rsidR="009E1830">
              <w:rPr>
                <w:sz w:val="20"/>
                <w:szCs w:val="20"/>
              </w:rPr>
              <w:t>отдела экономики райисполкома</w:t>
            </w:r>
          </w:p>
          <w:p w:rsidR="00BD74AB" w:rsidRPr="0004577D" w:rsidRDefault="009E1830" w:rsidP="0004577D">
            <w:pPr>
              <w:pStyle w:val="table10"/>
              <w:spacing w:line="200" w:lineRule="exact"/>
            </w:pPr>
            <w:proofErr w:type="spellStart"/>
            <w:r>
              <w:t>Щигло</w:t>
            </w:r>
            <w:proofErr w:type="spellEnd"/>
            <w:r>
              <w:t xml:space="preserve"> Оксана Генриховна</w:t>
            </w:r>
          </w:p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t>тел.</w:t>
            </w:r>
            <w:r w:rsidR="009E1830">
              <w:t>21387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заявление с указанием сведений, подтверждающих факт добросовестного, открытого и непрерывного владения недвижимым имуществом в течение 15 лет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бесплатно</w:t>
            </w:r>
          </w:p>
        </w:tc>
      </w:tr>
      <w:tr w:rsidR="00BD74AB" w:rsidRPr="0004577D" w:rsidTr="001767A4">
        <w:trPr>
          <w:trHeight w:val="2653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t xml:space="preserve">17.26¹.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имущества(за исключением эксплуатируемых капитальных </w:t>
            </w:r>
            <w:proofErr w:type="spellStart"/>
            <w:r w:rsidRPr="0004577D">
              <w:t>капитальных</w:t>
            </w:r>
            <w:proofErr w:type="spellEnd"/>
            <w:r w:rsidRPr="0004577D">
              <w:t xml:space="preserve"> строений (зданий, сооружений)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</w:t>
            </w:r>
            <w:proofErr w:type="gramStart"/>
            <w:r w:rsidRPr="0004577D">
              <w:rPr>
                <w:sz w:val="20"/>
                <w:szCs w:val="20"/>
              </w:rPr>
              <w:t>.С</w:t>
            </w:r>
            <w:proofErr w:type="gramEnd"/>
            <w:r w:rsidRPr="0004577D">
              <w:rPr>
                <w:sz w:val="20"/>
                <w:szCs w:val="20"/>
              </w:rPr>
              <w:t>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B5312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703FCB" w:rsidRPr="0004577D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703FCB" w:rsidRPr="0004577D" w:rsidRDefault="00703FCB" w:rsidP="00703FCB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703FCB" w:rsidRDefault="00703FCB" w:rsidP="00703FCB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703FCB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703FCB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703FCB" w:rsidRPr="0004577D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BD74AB" w:rsidRPr="0004577D" w:rsidRDefault="00BD74AB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заявление</w:t>
            </w: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разрешительная документация, утвержденная в установленном законодательством порядке</w:t>
            </w: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проектная документация (в случае, если объект не закончен строительством)</w:t>
            </w:r>
          </w:p>
          <w:p w:rsidR="00BD74AB" w:rsidRPr="0004577D" w:rsidRDefault="00BD74AB" w:rsidP="0004577D">
            <w:pPr>
              <w:pStyle w:val="table10"/>
              <w:spacing w:line="200" w:lineRule="exact"/>
              <w:rPr>
                <w:color w:val="000000"/>
              </w:rPr>
            </w:pPr>
          </w:p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  <w:rPr>
                <w:color w:val="000000"/>
              </w:rPr>
            </w:pPr>
            <w:r w:rsidRPr="0004577D">
              <w:rPr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бесплатно</w:t>
            </w:r>
          </w:p>
        </w:tc>
      </w:tr>
    </w:tbl>
    <w:p w:rsidR="00A1791F" w:rsidRPr="00E02A84" w:rsidRDefault="00A1791F" w:rsidP="00A1791F">
      <w:pPr>
        <w:pStyle w:val="comment"/>
      </w:pPr>
      <w:bookmarkStart w:id="1" w:name="a641"/>
      <w:bookmarkEnd w:id="1"/>
      <w:r w:rsidRPr="00E02A84">
        <w:t>Примечания:</w:t>
      </w:r>
    </w:p>
    <w:p w:rsidR="00A1791F" w:rsidRPr="00E02A84" w:rsidRDefault="00A1791F" w:rsidP="00A1791F">
      <w:pPr>
        <w:pStyle w:val="comment"/>
        <w:ind w:firstLine="567"/>
      </w:pPr>
      <w:r w:rsidRPr="00E02A84">
        <w:t>1. В случае полного освобождения юридического лица или индивидуального предпринимателя в соответствии с законодательством от внесения платы, взимаемой при осуществлении административной процедуры, вместо документа, подтверждающего внесение платы, представляется документ, подтверждающий право на такое освобождение, а в случае частичного освобождения, помимо документа, подтверждающего внесение платы, – документ, подтверждающий право на частичное освобождение.</w:t>
      </w:r>
    </w:p>
    <w:p w:rsidR="00A1791F" w:rsidRPr="00E02A84" w:rsidRDefault="00A1791F" w:rsidP="00A1791F">
      <w:pPr>
        <w:pStyle w:val="comment"/>
        <w:ind w:firstLine="567"/>
      </w:pPr>
      <w:r w:rsidRPr="00E02A84">
        <w:t>2. Допускается представление электронного документа,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предпринимателей.</w:t>
      </w:r>
    </w:p>
    <w:p w:rsidR="00A1791F" w:rsidRPr="00E02A84" w:rsidRDefault="00A1791F" w:rsidP="00A1791F">
      <w:pPr>
        <w:pStyle w:val="snoskiline"/>
      </w:pPr>
      <w:r w:rsidRPr="00E02A84">
        <w:t>______________________________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</w:t>
      </w:r>
      <w:r w:rsidRPr="00E02A84">
        <w:t>Оригиналы документов после их сверки с копиями подлежат возврату.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</w:t>
      </w:r>
      <w:r w:rsidRPr="00E02A84"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3</w:t>
      </w:r>
      <w:r w:rsidRPr="00E02A84">
        <w:t>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4</w:t>
      </w:r>
      <w:r w:rsidRPr="00E02A84">
        <w:t>По договору (контракту) лизинга документы представляются только при первой уплате налога на добавленную стоимость.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5</w:t>
      </w:r>
      <w:r w:rsidRPr="00E02A84">
        <w:t>Информационное сообщение не представляется, если сведения, подлежащие указанию в нем, содержатся:</w:t>
      </w:r>
    </w:p>
    <w:p w:rsidR="00A1791F" w:rsidRPr="00E02A84" w:rsidRDefault="00A1791F" w:rsidP="00A1791F">
      <w:pPr>
        <w:pStyle w:val="snoski"/>
      </w:pPr>
      <w:r w:rsidRPr="00E02A84">
        <w:t>в договоре (контракте) об изготовлении товаров;</w:t>
      </w:r>
    </w:p>
    <w:p w:rsidR="00A1791F" w:rsidRPr="00E02A84" w:rsidRDefault="00A1791F" w:rsidP="00A1791F">
      <w:pPr>
        <w:pStyle w:val="snoski"/>
      </w:pPr>
      <w:r w:rsidRPr="00E02A84">
        <w:t>в договоре (контракте) на переработку давальческого сырья;</w:t>
      </w:r>
    </w:p>
    <w:p w:rsidR="00A1791F" w:rsidRPr="00E02A84" w:rsidRDefault="00A1791F" w:rsidP="00A1791F">
      <w:pPr>
        <w:pStyle w:val="snoski"/>
      </w:pPr>
      <w:r w:rsidRPr="00E02A84">
        <w:t>в договоре (контракте), согласно которому приобретены товары, ввезенные на территорию Республики Беларусь с территории другого государства – члена Таможенного союза;</w:t>
      </w:r>
    </w:p>
    <w:p w:rsidR="00A1791F" w:rsidRPr="00E02A84" w:rsidRDefault="00A1791F" w:rsidP="00A1791F">
      <w:pPr>
        <w:pStyle w:val="snoski"/>
      </w:pPr>
      <w:r w:rsidRPr="00E02A84">
        <w:t>в договоре (контракте) лизинга – в случае лизинга товаров (предметов лизинга);</w:t>
      </w:r>
    </w:p>
    <w:p w:rsidR="00A1791F" w:rsidRPr="00E02A84" w:rsidRDefault="00A1791F" w:rsidP="00A1791F">
      <w:pPr>
        <w:pStyle w:val="snoski"/>
      </w:pPr>
      <w:r w:rsidRPr="00E02A84">
        <w:t>в договоре (контракте) товарного кредита (товарного займа, займа в виде вещей) – в случае товарного кредита (товарного займа, займа в виде вещей).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6</w:t>
      </w:r>
      <w:r w:rsidRPr="00E02A84">
        <w:t>Возвращается после осуществления административной процедуры.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7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8</w:t>
      </w:r>
      <w:r w:rsidRPr="00E02A84">
        <w:t>Предъявляется без изъятия.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9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10</w:t>
      </w:r>
      <w:r w:rsidRPr="00E02A84">
        <w:t>Не представляются государственными органами, а также иными государственными организациями, правовой статус которых определен Конституцией Республики Беларусь, нормативными правовыми актами Президента Республики Беларусь, Совета Министров Республики Беларусь.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11</w:t>
      </w:r>
      <w:r w:rsidRPr="00E02A84">
        <w:t xml:space="preserve">Выдача извещения о постановке на учет юридическим лицам и индивидуальным предпринимателям, проходящим государственную регистрацию в соответствии с Декретом Президента Республики Беларусь от 16 января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., № 17, 1/10418), осуществляется регистрирующим органом в порядке, установленном постановлением Совета Министров Республики Беларусь от 2 февраля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141 «О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предпринимателей, ликвидации юридических лиц (прекращении деятельности индивидуальных предпринимателей) с использованием автоматизированной информационной системы «Взаимодействие»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>., № 41, 5/29263).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12</w:t>
      </w:r>
      <w:r w:rsidRPr="00E02A84">
        <w:t xml:space="preserve">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E02A84">
        <w:t>апостиля</w:t>
      </w:r>
      <w:proofErr w:type="spellEnd"/>
      <w:r w:rsidRPr="00E02A84">
        <w:t>, если иное не предусмотрено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 (подлинность подписи переводчика свидетельствуется нотариально).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13</w:t>
      </w:r>
      <w:r w:rsidRPr="00E02A84">
        <w:t>При осуществлении государственной регистрации и внесении исправлений в документы единого государственного регистра недвижимого имущества, прав на него и сделок с ним дополнительно взимается плата: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процедур, применяемых согласно настоящему перечню;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каждые последующие двадцать точек каталога координат – при государственной регистрации создания земельного участка (за исключением случаев, когда в территориальной организации по государственной регистрации имеется каталог координат на машинном носителе в необходимом формате);</w:t>
      </w:r>
    </w:p>
    <w:p w:rsidR="00A1791F" w:rsidRPr="00E02A84" w:rsidRDefault="00A1791F" w:rsidP="00A1791F">
      <w:pPr>
        <w:pStyle w:val="snoski"/>
      </w:pPr>
      <w:r w:rsidRPr="00E02A84">
        <w:t>0,5 базовой величины – за составление и выдачу земельно-кадастрового плана земельного участка (при наличии сведений о геодезических координатах поворотных точек границы земельного участка) в случае государственной регистрации создания, изменения земельного участка, возникновения, перехода, прекращения прав, ограничений (обременений) прав на земельный участок, а также сервитута;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подготовку по ходатайству заявителя второго и каждого последующего экземпляра свидетельства (удостоверения) о государственной регистрации;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каждый объект недвижимого имущества, включаемый в состав предприятия или исключаемый из его состава, – при государственной регистрации создания, изменения или прекращения существования предприятия;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возникновения, или перехода, или прекращения прав, ограничений (обременений) прав на каждый объект недвижимого имущества, входящий в состав зарегистрированного предприятия, – при государственной регистрации возникновения, или перехода, или прекращения прав, ограничений (обременений) прав на предприятие;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помещение необходимых документов во второе и каждое последующее регистрационное дело – при внесении исправлений в документы единого государственного регистра недвижимого имущества, прав на него и сделок с ним в отношении объектов недвижимого имущества (за исключением предприятия).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14</w:t>
      </w:r>
      <w:r w:rsidRPr="00E02A84">
        <w:t>Документы представляются в оригиналах или засвидетельствованных в установленном порядке копиях без представления ксерокопий.</w:t>
      </w:r>
    </w:p>
    <w:p w:rsidR="00A1791F" w:rsidRPr="00E02A84" w:rsidRDefault="00A1791F" w:rsidP="00A1791F">
      <w:pPr>
        <w:pStyle w:val="snoski"/>
      </w:pPr>
      <w:r w:rsidRPr="00E02A84">
        <w:t>Не представляются:</w:t>
      </w:r>
    </w:p>
    <w:p w:rsidR="00A1791F" w:rsidRPr="00E02A84" w:rsidRDefault="00A1791F" w:rsidP="00A1791F">
      <w:pPr>
        <w:pStyle w:val="snoski"/>
      </w:pPr>
      <w:r w:rsidRPr="00E02A84">
        <w:t>в отношении государственных органов, иностранных государств, лиц, являющихся стороной по сделке с недвижимым имуществом, которая не влечет возникновения у них прав на недвижимое имущество, и лиц, права у которых прекращаются или от которых переходят права на недвижимое имущество в результате государственной регистрации, а также при государственной регистрации сделок с недвижимым имуществом и прекращения существования недвижимого имущества;</w:t>
      </w:r>
    </w:p>
    <w:p w:rsidR="00A1791F" w:rsidRPr="00E02A84" w:rsidRDefault="00A1791F" w:rsidP="00A1791F">
      <w:pPr>
        <w:pStyle w:val="snoski"/>
      </w:pPr>
      <w:r w:rsidRPr="00E02A84">
        <w:t xml:space="preserve">если эти документы представлялись в соответствующую организацию по государственной регистрации недвижимого имущества, прав на него и сделок с ним по месту нахождения объекта недвижимого имущества ранее (после 8 мая </w:t>
      </w:r>
      <w:smartTag w:uri="urn:schemas-microsoft-com:office:smarttags" w:element="metricconverter">
        <w:smartTagPr>
          <w:attr w:name="ProductID" w:val="2003 г"/>
        </w:smartTagPr>
        <w:r w:rsidRPr="00E02A84">
          <w:t>2003 г</w:t>
        </w:r>
      </w:smartTag>
      <w:r w:rsidRPr="00E02A84">
        <w:t>.).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15</w:t>
      </w:r>
      <w:r w:rsidRPr="00E02A84"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1791F" w:rsidRPr="00E02A84" w:rsidRDefault="00A1791F" w:rsidP="00A1791F">
      <w:pPr>
        <w:pStyle w:val="snoski"/>
      </w:pPr>
      <w:r w:rsidRPr="00E02A84">
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</w:t>
      </w:r>
      <w:r w:rsidRPr="00E02A84">
        <w:lastRenderedPageBreak/>
        <w:t>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A1791F" w:rsidRPr="00E02A84" w:rsidRDefault="00A1791F" w:rsidP="00A1791F">
      <w:pPr>
        <w:pStyle w:val="snoski"/>
      </w:pPr>
      <w:r w:rsidRPr="00E02A84"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16</w:t>
      </w:r>
      <w:r w:rsidRPr="00E02A84">
        <w:t>Наряду с руководителем документ может быть подписан лицом, исполняющим его обязанности, либо иным уполномоченным лицом – при условии представления соответствующего подтверждающего документа.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17</w:t>
      </w:r>
      <w:r w:rsidRPr="00E02A84">
        <w:t>Патентная пошлина за поддержание патента в силе, за исключением патента, выданного в порядке перерегистрации, взимается за каждый год его действия, начиная с третьего года с даты подачи заявки в Национальный центр интеллектуальной собственности.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18</w:t>
      </w:r>
      <w:r w:rsidRPr="00E02A84">
        <w:t>Указывается в случае получения легковых автомобилей, предназначенных для профилактики инвалидности и реабилитации инвалидов, в качестве международной технической помощи и (или) приобретения за счет средств международной технической помощи в целях, определенных в проекте (программе) международной технической помощи.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19</w:t>
      </w:r>
      <w:r w:rsidRPr="00E02A84">
        <w:t xml:space="preserve">Выдается для целей применения положений части первой подпункта 1.9 пункта 1 Декрета Президента Республики Беларусь от 7 мая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 xml:space="preserve">. № 6 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>., № 53, 1/13491).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20</w:t>
      </w:r>
      <w:r w:rsidRPr="00E02A84">
        <w:t>Документы, представленные в виде копий, должны быть заверены нотариально или органом, выдавшим такие документы, либо заверены лицом, заинтересованным в переработке товаров.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21</w:t>
      </w:r>
      <w:r w:rsidRPr="00E02A84">
        <w:t>Документы, представленные в виде оригиналов, нотариально заверенных копий либо копий, заверенных заинтересованным лицом.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22</w:t>
      </w:r>
      <w:r w:rsidRPr="00E02A84">
        <w:t>К документам, представленным на иностранном языке, прилагается нотариально заверенный перевод на белорусском или русском языке.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23</w:t>
      </w:r>
      <w:r w:rsidRPr="00E02A84">
        <w:t>Документы, представленные в виде оригиналов, нотариально заверенных копий либо копий с предъявлением оригиналов.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24</w:t>
      </w:r>
      <w:r w:rsidRPr="00E02A84">
        <w:t>Заверенные банком, небанковской кредитно-финансовой организацией.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25</w:t>
      </w:r>
      <w:r w:rsidRPr="00E02A84">
        <w:t>Нотариально заверенные.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26</w:t>
      </w:r>
      <w:r w:rsidRPr="00E02A84">
        <w:t>Заверенные банком.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27</w:t>
      </w:r>
      <w:r w:rsidRPr="00E02A84">
        <w:t>Документы на русском или белорусском языке, подписанные руководителем (заместителем руководителя) организации или индивидуальным предпринимателем и заверенные оттиском печати заинтересованного лица (при наличии).</w:t>
      </w:r>
    </w:p>
    <w:p w:rsidR="00A1791F" w:rsidRDefault="00A1791F" w:rsidP="00E070AA">
      <w:pPr>
        <w:pStyle w:val="snoski"/>
      </w:pPr>
      <w:r w:rsidRPr="00E02A84">
        <w:rPr>
          <w:vertAlign w:val="superscript"/>
        </w:rPr>
        <w:t>28</w:t>
      </w:r>
      <w:r w:rsidRPr="00E02A84">
        <w:t xml:space="preserve">В случае подачи до 1 января </w:t>
      </w:r>
      <w:smartTag w:uri="urn:schemas-microsoft-com:office:smarttags" w:element="metricconverter">
        <w:smartTagPr>
          <w:attr w:name="ProductID" w:val="2014 г"/>
        </w:smartTagPr>
        <w:r w:rsidRPr="00E02A84">
          <w:t>2014 г</w:t>
        </w:r>
      </w:smartTag>
      <w:r w:rsidRPr="00E02A84">
        <w:t>. одновременно более 20 заявлений о государственной регистрации создания земельных участков, предоставленных для ведения сельского либо подсобного сельского хозяйства, возникновения прав, ограничений (обременений) прав на них, к размеру платы, взимаемому за государственную регистрацию 21-го и каждого последующего земельного участка, применяется коэффициент 0,5.</w:t>
      </w:r>
    </w:p>
    <w:p w:rsidR="00E02A84" w:rsidRDefault="00E02A84" w:rsidP="00E070AA">
      <w:pPr>
        <w:pStyle w:val="snoski"/>
      </w:pPr>
    </w:p>
    <w:p w:rsidR="00E02A84" w:rsidRPr="00E02A84" w:rsidRDefault="00E02A84" w:rsidP="00E070AA">
      <w:pPr>
        <w:pStyle w:val="snoski"/>
        <w:sectPr w:rsidR="00E02A84" w:rsidRPr="00E02A84" w:rsidSect="00510DBA">
          <w:headerReference w:type="even" r:id="rId8"/>
          <w:headerReference w:type="default" r:id="rId9"/>
          <w:pgSz w:w="16840" w:h="23814" w:code="9"/>
          <w:pgMar w:top="567" w:right="567" w:bottom="567" w:left="567" w:header="283" w:footer="567" w:gutter="0"/>
          <w:cols w:space="720"/>
          <w:titlePg/>
          <w:docGrid w:linePitch="326"/>
        </w:sectPr>
      </w:pPr>
    </w:p>
    <w:p w:rsidR="00A1791F" w:rsidRPr="00F653FA" w:rsidRDefault="00A1791F" w:rsidP="00A20980">
      <w:pPr>
        <w:pStyle w:val="newncpi"/>
        <w:ind w:firstLine="0"/>
      </w:pPr>
    </w:p>
    <w:sectPr w:rsidR="00A1791F" w:rsidRPr="00F653FA" w:rsidSect="002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BE" w:rsidRDefault="00A23EBE">
      <w:r>
        <w:separator/>
      </w:r>
    </w:p>
  </w:endnote>
  <w:endnote w:type="continuationSeparator" w:id="0">
    <w:p w:rsidR="00A23EBE" w:rsidRDefault="00A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BE" w:rsidRDefault="00A23EBE">
      <w:r>
        <w:separator/>
      </w:r>
    </w:p>
  </w:footnote>
  <w:footnote w:type="continuationSeparator" w:id="0">
    <w:p w:rsidR="00A23EBE" w:rsidRDefault="00A2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9" w:rsidRDefault="001C1903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72F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79" w:rsidRDefault="00C72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9" w:rsidRPr="00117E41" w:rsidRDefault="001C1903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C72F79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B9389C">
      <w:rPr>
        <w:rStyle w:val="a3"/>
        <w:noProof/>
      </w:rPr>
      <w:t>6</w:t>
    </w:r>
    <w:r w:rsidRPr="00117E41">
      <w:rPr>
        <w:rStyle w:val="a3"/>
      </w:rPr>
      <w:fldChar w:fldCharType="end"/>
    </w:r>
  </w:p>
  <w:p w:rsidR="00C72F79" w:rsidRPr="00117E41" w:rsidRDefault="00C72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791F"/>
    <w:rsid w:val="00006CD4"/>
    <w:rsid w:val="00020083"/>
    <w:rsid w:val="00034297"/>
    <w:rsid w:val="000345DE"/>
    <w:rsid w:val="000400CF"/>
    <w:rsid w:val="0004577D"/>
    <w:rsid w:val="000476DD"/>
    <w:rsid w:val="000632F0"/>
    <w:rsid w:val="00063E9E"/>
    <w:rsid w:val="00093847"/>
    <w:rsid w:val="000972BB"/>
    <w:rsid w:val="00097587"/>
    <w:rsid w:val="00097D3E"/>
    <w:rsid w:val="000C60E3"/>
    <w:rsid w:val="000D17C6"/>
    <w:rsid w:val="000E456F"/>
    <w:rsid w:val="000F380E"/>
    <w:rsid w:val="000F3D0F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D62"/>
    <w:rsid w:val="00175ED5"/>
    <w:rsid w:val="001767A4"/>
    <w:rsid w:val="0017689D"/>
    <w:rsid w:val="0017721A"/>
    <w:rsid w:val="001804B8"/>
    <w:rsid w:val="0018685A"/>
    <w:rsid w:val="0019529C"/>
    <w:rsid w:val="001A2462"/>
    <w:rsid w:val="001B78D2"/>
    <w:rsid w:val="001C0342"/>
    <w:rsid w:val="001C1903"/>
    <w:rsid w:val="001D5C48"/>
    <w:rsid w:val="001E265D"/>
    <w:rsid w:val="001E2B50"/>
    <w:rsid w:val="001E3C79"/>
    <w:rsid w:val="001F5D6D"/>
    <w:rsid w:val="00201ABD"/>
    <w:rsid w:val="00201F04"/>
    <w:rsid w:val="00203621"/>
    <w:rsid w:val="00203DCD"/>
    <w:rsid w:val="00207862"/>
    <w:rsid w:val="0021755D"/>
    <w:rsid w:val="00224CE9"/>
    <w:rsid w:val="00245100"/>
    <w:rsid w:val="00250603"/>
    <w:rsid w:val="00260A99"/>
    <w:rsid w:val="0028696D"/>
    <w:rsid w:val="00295C7F"/>
    <w:rsid w:val="00297F70"/>
    <w:rsid w:val="002A2787"/>
    <w:rsid w:val="002C6B5C"/>
    <w:rsid w:val="002D0FE3"/>
    <w:rsid w:val="002D3B65"/>
    <w:rsid w:val="002D79D5"/>
    <w:rsid w:val="002F30E5"/>
    <w:rsid w:val="002F47D0"/>
    <w:rsid w:val="002F4AFD"/>
    <w:rsid w:val="00306273"/>
    <w:rsid w:val="00312211"/>
    <w:rsid w:val="00313DF9"/>
    <w:rsid w:val="00321382"/>
    <w:rsid w:val="00323640"/>
    <w:rsid w:val="00323808"/>
    <w:rsid w:val="0032762B"/>
    <w:rsid w:val="00341759"/>
    <w:rsid w:val="00353F5A"/>
    <w:rsid w:val="00365C9E"/>
    <w:rsid w:val="00395583"/>
    <w:rsid w:val="003A4474"/>
    <w:rsid w:val="003D089A"/>
    <w:rsid w:val="003D25A3"/>
    <w:rsid w:val="003E3ED6"/>
    <w:rsid w:val="003E64A1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81185"/>
    <w:rsid w:val="004825FC"/>
    <w:rsid w:val="00492086"/>
    <w:rsid w:val="00492377"/>
    <w:rsid w:val="004B0089"/>
    <w:rsid w:val="004C6BBD"/>
    <w:rsid w:val="004D5D5A"/>
    <w:rsid w:val="004E0F93"/>
    <w:rsid w:val="004E13BB"/>
    <w:rsid w:val="004E17FC"/>
    <w:rsid w:val="004E3969"/>
    <w:rsid w:val="004E60D8"/>
    <w:rsid w:val="00503670"/>
    <w:rsid w:val="00507946"/>
    <w:rsid w:val="00510C55"/>
    <w:rsid w:val="00510DBA"/>
    <w:rsid w:val="005120BF"/>
    <w:rsid w:val="00514159"/>
    <w:rsid w:val="005169D3"/>
    <w:rsid w:val="00522DE7"/>
    <w:rsid w:val="00523BCF"/>
    <w:rsid w:val="0053350F"/>
    <w:rsid w:val="005442E8"/>
    <w:rsid w:val="0054748A"/>
    <w:rsid w:val="00554C2E"/>
    <w:rsid w:val="0055733B"/>
    <w:rsid w:val="0056010D"/>
    <w:rsid w:val="00571CF5"/>
    <w:rsid w:val="00572691"/>
    <w:rsid w:val="005A06C0"/>
    <w:rsid w:val="005A622C"/>
    <w:rsid w:val="005A6A39"/>
    <w:rsid w:val="005B184B"/>
    <w:rsid w:val="005B1E03"/>
    <w:rsid w:val="005B4D9F"/>
    <w:rsid w:val="005C381A"/>
    <w:rsid w:val="005C4342"/>
    <w:rsid w:val="005E42CC"/>
    <w:rsid w:val="00601FA4"/>
    <w:rsid w:val="00623E91"/>
    <w:rsid w:val="00631D4A"/>
    <w:rsid w:val="0063663E"/>
    <w:rsid w:val="00637549"/>
    <w:rsid w:val="00675A84"/>
    <w:rsid w:val="0068275E"/>
    <w:rsid w:val="00685D37"/>
    <w:rsid w:val="006927B0"/>
    <w:rsid w:val="00696F9E"/>
    <w:rsid w:val="006B489C"/>
    <w:rsid w:val="006B5592"/>
    <w:rsid w:val="006C2207"/>
    <w:rsid w:val="006C304B"/>
    <w:rsid w:val="006D5630"/>
    <w:rsid w:val="006D6FCB"/>
    <w:rsid w:val="006E2503"/>
    <w:rsid w:val="006F04FE"/>
    <w:rsid w:val="006F2FE8"/>
    <w:rsid w:val="006F7389"/>
    <w:rsid w:val="00703FCB"/>
    <w:rsid w:val="00731715"/>
    <w:rsid w:val="00740F8A"/>
    <w:rsid w:val="00745974"/>
    <w:rsid w:val="00753E49"/>
    <w:rsid w:val="0075708F"/>
    <w:rsid w:val="0076129D"/>
    <w:rsid w:val="00780656"/>
    <w:rsid w:val="007827EB"/>
    <w:rsid w:val="00794197"/>
    <w:rsid w:val="007A0AE0"/>
    <w:rsid w:val="007A1193"/>
    <w:rsid w:val="007B1AED"/>
    <w:rsid w:val="007B5312"/>
    <w:rsid w:val="007C0BBA"/>
    <w:rsid w:val="007C2B28"/>
    <w:rsid w:val="007C77D0"/>
    <w:rsid w:val="007E13ED"/>
    <w:rsid w:val="007E348A"/>
    <w:rsid w:val="007E3CE1"/>
    <w:rsid w:val="007E7140"/>
    <w:rsid w:val="00800581"/>
    <w:rsid w:val="00802EDF"/>
    <w:rsid w:val="0080318A"/>
    <w:rsid w:val="00803D1A"/>
    <w:rsid w:val="00813668"/>
    <w:rsid w:val="008339FD"/>
    <w:rsid w:val="00854D4A"/>
    <w:rsid w:val="008557B9"/>
    <w:rsid w:val="00857968"/>
    <w:rsid w:val="00873422"/>
    <w:rsid w:val="0087365E"/>
    <w:rsid w:val="008752B6"/>
    <w:rsid w:val="00876B8E"/>
    <w:rsid w:val="0089361C"/>
    <w:rsid w:val="00894089"/>
    <w:rsid w:val="008A26F8"/>
    <w:rsid w:val="008B0EC0"/>
    <w:rsid w:val="008B666B"/>
    <w:rsid w:val="008C4727"/>
    <w:rsid w:val="008E0604"/>
    <w:rsid w:val="008E18ED"/>
    <w:rsid w:val="008E6952"/>
    <w:rsid w:val="008F7E94"/>
    <w:rsid w:val="009015EB"/>
    <w:rsid w:val="00924EEE"/>
    <w:rsid w:val="00932A92"/>
    <w:rsid w:val="00935D97"/>
    <w:rsid w:val="00936A3B"/>
    <w:rsid w:val="00947A50"/>
    <w:rsid w:val="00975431"/>
    <w:rsid w:val="00981801"/>
    <w:rsid w:val="00982C54"/>
    <w:rsid w:val="00986117"/>
    <w:rsid w:val="0099525E"/>
    <w:rsid w:val="009A156B"/>
    <w:rsid w:val="009A788F"/>
    <w:rsid w:val="009C0D50"/>
    <w:rsid w:val="009C1935"/>
    <w:rsid w:val="009C7EAE"/>
    <w:rsid w:val="009D2A40"/>
    <w:rsid w:val="009E1830"/>
    <w:rsid w:val="009E1F96"/>
    <w:rsid w:val="009F7560"/>
    <w:rsid w:val="00A15D44"/>
    <w:rsid w:val="00A1791F"/>
    <w:rsid w:val="00A17D57"/>
    <w:rsid w:val="00A20980"/>
    <w:rsid w:val="00A23EBE"/>
    <w:rsid w:val="00A2636D"/>
    <w:rsid w:val="00A36417"/>
    <w:rsid w:val="00A44BCF"/>
    <w:rsid w:val="00A461A8"/>
    <w:rsid w:val="00A70846"/>
    <w:rsid w:val="00A76F95"/>
    <w:rsid w:val="00A80362"/>
    <w:rsid w:val="00A82EE1"/>
    <w:rsid w:val="00A83EFC"/>
    <w:rsid w:val="00A84160"/>
    <w:rsid w:val="00AA41CA"/>
    <w:rsid w:val="00AD7C49"/>
    <w:rsid w:val="00AF2FAE"/>
    <w:rsid w:val="00B008E9"/>
    <w:rsid w:val="00B026C3"/>
    <w:rsid w:val="00B21594"/>
    <w:rsid w:val="00B23B93"/>
    <w:rsid w:val="00B25A2F"/>
    <w:rsid w:val="00B277F8"/>
    <w:rsid w:val="00B413B8"/>
    <w:rsid w:val="00B45DC5"/>
    <w:rsid w:val="00B4644C"/>
    <w:rsid w:val="00B56303"/>
    <w:rsid w:val="00B8356F"/>
    <w:rsid w:val="00B921EB"/>
    <w:rsid w:val="00B9389C"/>
    <w:rsid w:val="00BA04B6"/>
    <w:rsid w:val="00BA5EA6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14D4"/>
    <w:rsid w:val="00C01DEF"/>
    <w:rsid w:val="00C020A3"/>
    <w:rsid w:val="00C02F3F"/>
    <w:rsid w:val="00C11256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72F79"/>
    <w:rsid w:val="00C7487D"/>
    <w:rsid w:val="00C76246"/>
    <w:rsid w:val="00C807A9"/>
    <w:rsid w:val="00C85410"/>
    <w:rsid w:val="00C951B1"/>
    <w:rsid w:val="00CA0D79"/>
    <w:rsid w:val="00CB219D"/>
    <w:rsid w:val="00CC3F22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515C1"/>
    <w:rsid w:val="00D665BE"/>
    <w:rsid w:val="00D709D2"/>
    <w:rsid w:val="00D8393F"/>
    <w:rsid w:val="00D94080"/>
    <w:rsid w:val="00DB3747"/>
    <w:rsid w:val="00DC1209"/>
    <w:rsid w:val="00DD008C"/>
    <w:rsid w:val="00DD2940"/>
    <w:rsid w:val="00DD3539"/>
    <w:rsid w:val="00DD7BE3"/>
    <w:rsid w:val="00DF126C"/>
    <w:rsid w:val="00E02A84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67F0"/>
    <w:rsid w:val="00E67A1D"/>
    <w:rsid w:val="00E77C94"/>
    <w:rsid w:val="00E82AF2"/>
    <w:rsid w:val="00E86879"/>
    <w:rsid w:val="00E94AEC"/>
    <w:rsid w:val="00E94F17"/>
    <w:rsid w:val="00E966F5"/>
    <w:rsid w:val="00E976A2"/>
    <w:rsid w:val="00EB6488"/>
    <w:rsid w:val="00EC0C04"/>
    <w:rsid w:val="00EC42ED"/>
    <w:rsid w:val="00EF156B"/>
    <w:rsid w:val="00EF45B6"/>
    <w:rsid w:val="00EF69C6"/>
    <w:rsid w:val="00EF765D"/>
    <w:rsid w:val="00F0520B"/>
    <w:rsid w:val="00F13FD4"/>
    <w:rsid w:val="00F15205"/>
    <w:rsid w:val="00F17BC2"/>
    <w:rsid w:val="00F20A5D"/>
    <w:rsid w:val="00F2645C"/>
    <w:rsid w:val="00F37D8D"/>
    <w:rsid w:val="00F450E5"/>
    <w:rsid w:val="00F52760"/>
    <w:rsid w:val="00F54687"/>
    <w:rsid w:val="00F61616"/>
    <w:rsid w:val="00F61F1A"/>
    <w:rsid w:val="00F638D0"/>
    <w:rsid w:val="00F653FA"/>
    <w:rsid w:val="00F82860"/>
    <w:rsid w:val="00F85477"/>
    <w:rsid w:val="00FB52F5"/>
    <w:rsid w:val="00FC1D39"/>
    <w:rsid w:val="00FD339A"/>
    <w:rsid w:val="00FE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Balloon Text"/>
    <w:basedOn w:val="a"/>
    <w:link w:val="a8"/>
    <w:rsid w:val="00093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4AA0-3093-416E-9061-17070632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Пользователь Windows</cp:lastModifiedBy>
  <cp:revision>15</cp:revision>
  <cp:lastPrinted>2019-05-14T11:23:00Z</cp:lastPrinted>
  <dcterms:created xsi:type="dcterms:W3CDTF">2018-12-06T14:33:00Z</dcterms:created>
  <dcterms:modified xsi:type="dcterms:W3CDTF">2019-05-22T12:48:00Z</dcterms:modified>
</cp:coreProperties>
</file>